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1B" w:rsidRDefault="004A2BE7" w:rsidP="00FD7D1B">
      <w:pPr>
        <w:pStyle w:val="Zkladntext3"/>
        <w:spacing w:line="276" w:lineRule="auto"/>
        <w:rPr>
          <w:sz w:val="22"/>
          <w:szCs w:val="22"/>
        </w:rPr>
      </w:pPr>
      <w:r>
        <w:rPr>
          <w:b w:val="0"/>
          <w:sz w:val="22"/>
          <w:szCs w:val="22"/>
        </w:rPr>
        <w:t xml:space="preserve">                                                                                                   </w:t>
      </w:r>
      <w:proofErr w:type="gramStart"/>
      <w:r>
        <w:rPr>
          <w:b w:val="0"/>
          <w:sz w:val="22"/>
          <w:szCs w:val="22"/>
        </w:rPr>
        <w:t>Č</w:t>
      </w:r>
      <w:r w:rsidR="00FD7D1B" w:rsidRPr="000424AA">
        <w:rPr>
          <w:b w:val="0"/>
          <w:sz w:val="22"/>
          <w:szCs w:val="22"/>
        </w:rPr>
        <w:t>.j.</w:t>
      </w:r>
      <w:proofErr w:type="gramEnd"/>
      <w:r>
        <w:rPr>
          <w:b w:val="0"/>
          <w:sz w:val="22"/>
          <w:szCs w:val="22"/>
        </w:rPr>
        <w:t>:</w:t>
      </w:r>
      <w:r w:rsidR="00FD7D1B" w:rsidRPr="000424AA">
        <w:rPr>
          <w:b w:val="0"/>
          <w:sz w:val="22"/>
          <w:szCs w:val="22"/>
        </w:rPr>
        <w:t xml:space="preserve"> MV-</w:t>
      </w:r>
      <w:r w:rsidR="000424AA">
        <w:rPr>
          <w:b w:val="0"/>
          <w:sz w:val="22"/>
          <w:szCs w:val="22"/>
        </w:rPr>
        <w:t>152082-1</w:t>
      </w:r>
      <w:r w:rsidR="00FD7D1B" w:rsidRPr="000424AA">
        <w:rPr>
          <w:b w:val="0"/>
          <w:sz w:val="22"/>
          <w:szCs w:val="22"/>
        </w:rPr>
        <w:t>/OBP-201</w:t>
      </w:r>
      <w:r w:rsidR="008E35A3" w:rsidRPr="000424AA">
        <w:rPr>
          <w:b w:val="0"/>
          <w:sz w:val="22"/>
          <w:szCs w:val="22"/>
        </w:rPr>
        <w:t>6</w:t>
      </w:r>
    </w:p>
    <w:p w:rsidR="00FD7D1B" w:rsidRDefault="00FD7D1B" w:rsidP="00FD7D1B">
      <w:pPr>
        <w:pStyle w:val="Zkladntext3"/>
        <w:spacing w:line="276" w:lineRule="auto"/>
        <w:rPr>
          <w:sz w:val="22"/>
          <w:szCs w:val="22"/>
        </w:rPr>
      </w:pPr>
    </w:p>
    <w:p w:rsidR="00FD7D1B" w:rsidRDefault="00FD7D1B" w:rsidP="00FD7D1B">
      <w:pPr>
        <w:pStyle w:val="Zkladntext3"/>
        <w:spacing w:line="276" w:lineRule="auto"/>
        <w:rPr>
          <w:sz w:val="22"/>
          <w:szCs w:val="22"/>
        </w:rPr>
      </w:pPr>
      <w:r>
        <w:rPr>
          <w:sz w:val="22"/>
          <w:szCs w:val="22"/>
        </w:rPr>
        <w:t xml:space="preserve">Zásady poskytování dotací a hospodaření s neinvestičními dotacemi </w:t>
      </w:r>
    </w:p>
    <w:p w:rsidR="00FD7D1B" w:rsidRDefault="00FD7D1B" w:rsidP="00FD7D1B">
      <w:pPr>
        <w:pStyle w:val="Zkladntext3"/>
        <w:spacing w:line="276" w:lineRule="auto"/>
        <w:rPr>
          <w:sz w:val="22"/>
          <w:szCs w:val="22"/>
        </w:rPr>
      </w:pPr>
      <w:r>
        <w:rPr>
          <w:sz w:val="22"/>
          <w:szCs w:val="22"/>
        </w:rPr>
        <w:t xml:space="preserve">ze státního rozpočtu České republiky </w:t>
      </w:r>
    </w:p>
    <w:p w:rsidR="00FD7D1B" w:rsidRDefault="00FD7D1B" w:rsidP="00FD7D1B">
      <w:pPr>
        <w:pStyle w:val="Zkladntext3"/>
        <w:spacing w:line="276" w:lineRule="auto"/>
        <w:rPr>
          <w:sz w:val="22"/>
          <w:szCs w:val="22"/>
        </w:rPr>
      </w:pPr>
      <w:r>
        <w:rPr>
          <w:sz w:val="22"/>
          <w:szCs w:val="22"/>
        </w:rPr>
        <w:t xml:space="preserve">v rámci dotačního programu Bezpečnostní dobrovolník </w:t>
      </w:r>
      <w:r w:rsidR="00FF40DB">
        <w:rPr>
          <w:sz w:val="22"/>
          <w:szCs w:val="22"/>
        </w:rPr>
        <w:t>pro rok 2017</w:t>
      </w:r>
    </w:p>
    <w:p w:rsidR="00FD7D1B" w:rsidRDefault="00FD7D1B" w:rsidP="00FD7D1B">
      <w:pPr>
        <w:pStyle w:val="Nadpis1"/>
        <w:spacing w:line="276" w:lineRule="auto"/>
        <w:jc w:val="both"/>
        <w:rPr>
          <w:color w:val="000000"/>
          <w:sz w:val="22"/>
          <w:szCs w:val="22"/>
        </w:rPr>
      </w:pPr>
    </w:p>
    <w:p w:rsidR="00FD7D1B" w:rsidRDefault="00FD7D1B" w:rsidP="00402138"/>
    <w:p w:rsidR="00FD7D1B" w:rsidRDefault="00FD7D1B" w:rsidP="00FD7D1B">
      <w:pPr>
        <w:jc w:val="center"/>
      </w:pPr>
    </w:p>
    <w:p w:rsidR="00FD7D1B" w:rsidRDefault="00FD7D1B" w:rsidP="00FD7D1B">
      <w:pPr>
        <w:pStyle w:val="Nadpis1"/>
        <w:spacing w:after="120" w:line="276" w:lineRule="auto"/>
        <w:jc w:val="both"/>
        <w:rPr>
          <w:b w:val="0"/>
          <w:bCs w:val="0"/>
          <w:color w:val="000000"/>
          <w:sz w:val="22"/>
          <w:szCs w:val="22"/>
        </w:rPr>
      </w:pPr>
      <w:r>
        <w:rPr>
          <w:b w:val="0"/>
          <w:bCs w:val="0"/>
          <w:color w:val="000000"/>
          <w:sz w:val="22"/>
          <w:szCs w:val="22"/>
        </w:rPr>
        <w:t>Cílem dotačního programu Bezpečnostní dobrovolník je podpořit zapojení veřejnosti do zabezpečování veřejného pořádku na místní úrovni. Smyslem programu je vyjít vstříc iniciativám občanské společnosti a pomoci obcím vytvořit podmínky pro dobrovolnickou činnost jejich obyvatel, která přispěje ke zlepšení života v obci.</w:t>
      </w:r>
    </w:p>
    <w:p w:rsidR="00FD7D1B" w:rsidRDefault="00FD7D1B" w:rsidP="00402138">
      <w:pPr>
        <w:pStyle w:val="Nadpis3"/>
        <w:spacing w:line="276" w:lineRule="auto"/>
        <w:jc w:val="left"/>
      </w:pPr>
    </w:p>
    <w:p w:rsidR="00FD7D1B" w:rsidRDefault="00FD7D1B" w:rsidP="00FD7D1B"/>
    <w:p w:rsidR="00FD7D1B" w:rsidRDefault="00FD7D1B" w:rsidP="00FD7D1B">
      <w:pPr>
        <w:pStyle w:val="Nadpis1"/>
        <w:spacing w:after="120" w:line="276" w:lineRule="auto"/>
        <w:rPr>
          <w:color w:val="000000"/>
          <w:sz w:val="22"/>
          <w:szCs w:val="22"/>
        </w:rPr>
      </w:pPr>
      <w:r>
        <w:rPr>
          <w:color w:val="000000"/>
          <w:sz w:val="22"/>
          <w:szCs w:val="22"/>
        </w:rPr>
        <w:t>Čl. 1</w:t>
      </w:r>
    </w:p>
    <w:p w:rsidR="00FD7D1B" w:rsidRDefault="00FD7D1B" w:rsidP="00FD7D1B">
      <w:pPr>
        <w:pStyle w:val="Nadpis3"/>
        <w:spacing w:after="120" w:line="276" w:lineRule="auto"/>
        <w:rPr>
          <w:i/>
          <w:iCs/>
        </w:rPr>
      </w:pPr>
      <w:r>
        <w:t>Úvodní ustanovení</w:t>
      </w:r>
    </w:p>
    <w:p w:rsidR="00FD7D1B" w:rsidRDefault="00FD7D1B" w:rsidP="00D01672">
      <w:pPr>
        <w:pStyle w:val="Nadpis1"/>
        <w:spacing w:after="120" w:line="276" w:lineRule="auto"/>
        <w:ind w:firstLine="708"/>
        <w:jc w:val="both"/>
        <w:rPr>
          <w:b w:val="0"/>
          <w:bCs w:val="0"/>
          <w:color w:val="000000"/>
          <w:sz w:val="22"/>
          <w:szCs w:val="22"/>
        </w:rPr>
      </w:pPr>
      <w:r>
        <w:rPr>
          <w:b w:val="0"/>
          <w:bCs w:val="0"/>
          <w:color w:val="000000"/>
          <w:sz w:val="22"/>
          <w:szCs w:val="22"/>
        </w:rPr>
        <w:t>Zásady poskytování dotací a hospodaření s neinvestičními dotacemi ze státního rozpočtu České republiky v rámci dotačního programu Bezpečnostní dobrovolník (dále jen „Zásady“) Ministerstvo vnitra stanovuje v souladu se zákonem č. 218/2000 Sb., o rozpočtových pravidlech a o změně některých souvisejících zákonů (rozpočtová pravidla), ve znění pozdějších předpisů, a se zákonem č. 320/2001 Sb., o finanční kontrole ve veřejné správě a o změně některých zákonů (zákon o finanční kontrole), ve znění pozdějších předpisů.</w:t>
      </w:r>
    </w:p>
    <w:p w:rsidR="00FD7D1B" w:rsidRDefault="00FD7D1B" w:rsidP="00FD7D1B">
      <w:pPr>
        <w:spacing w:after="120" w:line="276" w:lineRule="auto"/>
        <w:jc w:val="both"/>
        <w:rPr>
          <w:rFonts w:ascii="Arial" w:hAnsi="Arial" w:cs="Arial"/>
          <w:b/>
          <w:bCs/>
          <w:color w:val="000000"/>
          <w:sz w:val="22"/>
          <w:szCs w:val="22"/>
        </w:rPr>
      </w:pPr>
    </w:p>
    <w:p w:rsidR="00FD7D1B" w:rsidRDefault="00FD7D1B" w:rsidP="00FD7D1B">
      <w:pPr>
        <w:pStyle w:val="Nadpis3"/>
        <w:spacing w:after="120" w:line="276" w:lineRule="auto"/>
      </w:pPr>
      <w:r>
        <w:t>Čl. 2</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Příjemce dotace</w:t>
      </w:r>
    </w:p>
    <w:p w:rsidR="00FD7D1B" w:rsidRDefault="00FD7D1B" w:rsidP="00D01672">
      <w:pPr>
        <w:spacing w:after="120" w:line="276" w:lineRule="auto"/>
        <w:ind w:firstLine="708"/>
        <w:jc w:val="both"/>
        <w:rPr>
          <w:rFonts w:ascii="Arial" w:hAnsi="Arial" w:cs="Arial"/>
          <w:color w:val="000000"/>
          <w:sz w:val="22"/>
          <w:szCs w:val="22"/>
        </w:rPr>
      </w:pPr>
      <w:r>
        <w:rPr>
          <w:rFonts w:ascii="Arial" w:hAnsi="Arial" w:cs="Arial"/>
          <w:color w:val="000000"/>
          <w:sz w:val="22"/>
          <w:szCs w:val="22"/>
        </w:rPr>
        <w:t>Příjemcem dotace je žadatel, kterým může být obec,</w:t>
      </w:r>
      <w:r w:rsidR="002E181F">
        <w:rPr>
          <w:rFonts w:ascii="Arial" w:hAnsi="Arial" w:cs="Arial"/>
          <w:color w:val="000000"/>
          <w:sz w:val="22"/>
          <w:szCs w:val="22"/>
        </w:rPr>
        <w:t xml:space="preserve"> </w:t>
      </w:r>
      <w:r w:rsidR="000424AA">
        <w:rPr>
          <w:rFonts w:ascii="Arial" w:hAnsi="Arial" w:cs="Arial"/>
          <w:color w:val="000000"/>
          <w:sz w:val="22"/>
          <w:szCs w:val="22"/>
        </w:rPr>
        <w:t xml:space="preserve">statutární město, </w:t>
      </w:r>
      <w:r w:rsidR="002E181F">
        <w:rPr>
          <w:rFonts w:ascii="Arial" w:hAnsi="Arial" w:cs="Arial"/>
          <w:color w:val="000000"/>
          <w:sz w:val="22"/>
          <w:szCs w:val="22"/>
        </w:rPr>
        <w:t>v</w:t>
      </w:r>
      <w:r>
        <w:rPr>
          <w:rFonts w:ascii="Arial" w:hAnsi="Arial" w:cs="Arial"/>
          <w:color w:val="000000"/>
          <w:sz w:val="22"/>
          <w:szCs w:val="22"/>
        </w:rPr>
        <w:t xml:space="preserve"> hlavní</w:t>
      </w:r>
      <w:r w:rsidR="002E181F">
        <w:rPr>
          <w:rFonts w:ascii="Arial" w:hAnsi="Arial" w:cs="Arial"/>
          <w:color w:val="000000"/>
          <w:sz w:val="22"/>
          <w:szCs w:val="22"/>
        </w:rPr>
        <w:t>m</w:t>
      </w:r>
      <w:r>
        <w:rPr>
          <w:rFonts w:ascii="Arial" w:hAnsi="Arial" w:cs="Arial"/>
          <w:color w:val="000000"/>
          <w:sz w:val="22"/>
          <w:szCs w:val="22"/>
        </w:rPr>
        <w:t xml:space="preserve"> měst</w:t>
      </w:r>
      <w:r w:rsidR="002E181F">
        <w:rPr>
          <w:rFonts w:ascii="Arial" w:hAnsi="Arial" w:cs="Arial"/>
          <w:color w:val="000000"/>
          <w:sz w:val="22"/>
          <w:szCs w:val="22"/>
        </w:rPr>
        <w:t>ě</w:t>
      </w:r>
      <w:r>
        <w:rPr>
          <w:rFonts w:ascii="Arial" w:hAnsi="Arial" w:cs="Arial"/>
          <w:color w:val="000000"/>
          <w:sz w:val="22"/>
          <w:szCs w:val="22"/>
        </w:rPr>
        <w:t xml:space="preserve"> Pra</w:t>
      </w:r>
      <w:r w:rsidR="002E181F">
        <w:rPr>
          <w:rFonts w:ascii="Arial" w:hAnsi="Arial" w:cs="Arial"/>
          <w:color w:val="000000"/>
          <w:sz w:val="22"/>
          <w:szCs w:val="22"/>
        </w:rPr>
        <w:t xml:space="preserve">ze </w:t>
      </w:r>
      <w:proofErr w:type="gramStart"/>
      <w:r w:rsidR="002E181F">
        <w:rPr>
          <w:rFonts w:ascii="Arial" w:hAnsi="Arial" w:cs="Arial"/>
          <w:color w:val="000000"/>
          <w:sz w:val="22"/>
          <w:szCs w:val="22"/>
        </w:rPr>
        <w:t>městsk</w:t>
      </w:r>
      <w:r w:rsidR="00E21656">
        <w:rPr>
          <w:rFonts w:ascii="Arial" w:hAnsi="Arial" w:cs="Arial"/>
          <w:color w:val="000000"/>
          <w:sz w:val="22"/>
          <w:szCs w:val="22"/>
        </w:rPr>
        <w:t>á</w:t>
      </w:r>
      <w:r w:rsidR="002E181F">
        <w:rPr>
          <w:rFonts w:ascii="Arial" w:hAnsi="Arial" w:cs="Arial"/>
          <w:color w:val="000000"/>
          <w:sz w:val="22"/>
          <w:szCs w:val="22"/>
        </w:rPr>
        <w:t xml:space="preserve"> </w:t>
      </w:r>
      <w:r>
        <w:rPr>
          <w:rFonts w:ascii="Arial" w:hAnsi="Arial" w:cs="Arial"/>
          <w:color w:val="000000"/>
          <w:sz w:val="22"/>
          <w:szCs w:val="22"/>
        </w:rPr>
        <w:t xml:space="preserve"> část</w:t>
      </w:r>
      <w:proofErr w:type="gramEnd"/>
      <w:r>
        <w:rPr>
          <w:rFonts w:ascii="Arial" w:hAnsi="Arial" w:cs="Arial"/>
          <w:color w:val="000000"/>
          <w:sz w:val="22"/>
          <w:szCs w:val="22"/>
        </w:rPr>
        <w:t xml:space="preserve"> </w:t>
      </w:r>
      <w:r w:rsidR="002E181F">
        <w:rPr>
          <w:rFonts w:ascii="Arial" w:hAnsi="Arial" w:cs="Arial"/>
          <w:color w:val="000000"/>
          <w:sz w:val="22"/>
          <w:szCs w:val="22"/>
        </w:rPr>
        <w:t>(dále jen „obec“).</w:t>
      </w:r>
    </w:p>
    <w:p w:rsidR="00FF40DB" w:rsidRDefault="00FF40DB" w:rsidP="00FD7D1B">
      <w:pPr>
        <w:spacing w:after="120" w:line="276" w:lineRule="auto"/>
        <w:jc w:val="both"/>
        <w:rPr>
          <w:rFonts w:ascii="Arial" w:hAnsi="Arial" w:cs="Arial"/>
          <w:color w:val="000000"/>
          <w:sz w:val="22"/>
          <w:szCs w:val="22"/>
        </w:rPr>
      </w:pPr>
    </w:p>
    <w:p w:rsidR="00FD7D1B" w:rsidRDefault="00FD7D1B" w:rsidP="00FD7D1B">
      <w:pPr>
        <w:pStyle w:val="Nadpis3"/>
        <w:spacing w:after="120" w:line="276" w:lineRule="auto"/>
      </w:pPr>
      <w:r>
        <w:t>Čl. 3</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Účel použití</w:t>
      </w:r>
    </w:p>
    <w:p w:rsidR="00FD7D1B" w:rsidRDefault="00FD7D1B" w:rsidP="00FD7D1B">
      <w:pPr>
        <w:numPr>
          <w:ilvl w:val="0"/>
          <w:numId w:val="25"/>
        </w:numPr>
        <w:spacing w:after="60" w:line="276" w:lineRule="auto"/>
        <w:jc w:val="both"/>
        <w:rPr>
          <w:rFonts w:ascii="Arial" w:hAnsi="Arial" w:cs="Arial"/>
          <w:color w:val="000000"/>
          <w:sz w:val="22"/>
          <w:szCs w:val="22"/>
        </w:rPr>
      </w:pPr>
      <w:r>
        <w:rPr>
          <w:rFonts w:ascii="Arial" w:hAnsi="Arial" w:cs="Arial"/>
          <w:color w:val="000000"/>
          <w:sz w:val="22"/>
          <w:szCs w:val="22"/>
        </w:rPr>
        <w:t xml:space="preserve">Dotaci lze poskytnout zejména </w:t>
      </w:r>
      <w:proofErr w:type="gramStart"/>
      <w:r>
        <w:rPr>
          <w:rFonts w:ascii="Arial" w:hAnsi="Arial" w:cs="Arial"/>
          <w:color w:val="000000"/>
          <w:sz w:val="22"/>
          <w:szCs w:val="22"/>
        </w:rPr>
        <w:t>na</w:t>
      </w:r>
      <w:proofErr w:type="gramEnd"/>
    </w:p>
    <w:p w:rsidR="00FD7D1B" w:rsidRDefault="00FD7D1B" w:rsidP="00FD7D1B">
      <w:pPr>
        <w:pStyle w:val="Zkladntextodsazen"/>
        <w:numPr>
          <w:ilvl w:val="0"/>
          <w:numId w:val="26"/>
        </w:numPr>
        <w:spacing w:after="60" w:line="276" w:lineRule="auto"/>
        <w:ind w:left="426" w:hanging="426"/>
        <w:rPr>
          <w:color w:val="auto"/>
        </w:rPr>
      </w:pPr>
      <w:r>
        <w:rPr>
          <w:color w:val="auto"/>
        </w:rPr>
        <w:t xml:space="preserve">pojistné, placené na základě pojistné smlouvy uzavřené obcí, kryjící odpovědnost za škodu na majetku nebo zdraví, kterou bezpečnostní dobrovolník při výkonu dobrovolnické činnosti způsobí sám nebo mu bude způsobena, </w:t>
      </w:r>
    </w:p>
    <w:p w:rsidR="00FD7D1B" w:rsidRDefault="00FD7D1B" w:rsidP="00FD7D1B">
      <w:pPr>
        <w:pStyle w:val="Zkladntextodsazen"/>
        <w:numPr>
          <w:ilvl w:val="0"/>
          <w:numId w:val="26"/>
        </w:numPr>
        <w:spacing w:after="60" w:line="276" w:lineRule="auto"/>
        <w:ind w:left="426" w:hanging="426"/>
        <w:rPr>
          <w:color w:val="auto"/>
        </w:rPr>
      </w:pPr>
      <w:r>
        <w:rPr>
          <w:color w:val="000000"/>
        </w:rPr>
        <w:t>výdaje spojené s</w:t>
      </w:r>
      <w:r w:rsidR="00FF40DB">
        <w:rPr>
          <w:color w:val="000000"/>
        </w:rPr>
        <w:t> </w:t>
      </w:r>
      <w:r>
        <w:rPr>
          <w:color w:val="000000"/>
        </w:rPr>
        <w:t>evidencí</w:t>
      </w:r>
      <w:r w:rsidR="00FF40DB">
        <w:rPr>
          <w:color w:val="000000"/>
        </w:rPr>
        <w:t>, koordinací</w:t>
      </w:r>
      <w:r>
        <w:rPr>
          <w:color w:val="000000"/>
        </w:rPr>
        <w:t xml:space="preserve"> bezpečnostních dobrovolníků a s jejich přípravou pro výkon dobrovolnické činnosti (např. školení),</w:t>
      </w:r>
    </w:p>
    <w:p w:rsidR="00FD7D1B" w:rsidRDefault="00FD7D1B" w:rsidP="00FD7D1B">
      <w:pPr>
        <w:pStyle w:val="Zkladntextodsazen"/>
        <w:numPr>
          <w:ilvl w:val="0"/>
          <w:numId w:val="26"/>
        </w:numPr>
        <w:spacing w:after="60" w:line="276" w:lineRule="auto"/>
        <w:ind w:left="426" w:hanging="426"/>
        <w:rPr>
          <w:color w:val="auto"/>
        </w:rPr>
      </w:pPr>
      <w:r>
        <w:rPr>
          <w:color w:val="000000"/>
        </w:rPr>
        <w:t>výdaje spojené s pořízením materiálního vybavení nezbytného k zajišťování výkonu činnosti bezpečnostních dobrovolníků,</w:t>
      </w:r>
    </w:p>
    <w:p w:rsidR="00FD7D1B" w:rsidRDefault="00FD7D1B" w:rsidP="00FD7D1B">
      <w:pPr>
        <w:pStyle w:val="Zkladntextodsazen"/>
        <w:numPr>
          <w:ilvl w:val="0"/>
          <w:numId w:val="26"/>
        </w:numPr>
        <w:spacing w:after="60" w:line="276" w:lineRule="auto"/>
        <w:ind w:left="426" w:hanging="426"/>
        <w:rPr>
          <w:color w:val="auto"/>
        </w:rPr>
      </w:pPr>
      <w:r>
        <w:rPr>
          <w:color w:val="000000"/>
        </w:rPr>
        <w:t>zpracování a tisk informačních materiálů týkajících se realizace projektu,</w:t>
      </w:r>
    </w:p>
    <w:p w:rsidR="00FD7D1B" w:rsidRDefault="00FD7D1B" w:rsidP="00FD7D1B">
      <w:pPr>
        <w:pStyle w:val="Zkladntextodsazen"/>
        <w:numPr>
          <w:ilvl w:val="0"/>
          <w:numId w:val="26"/>
        </w:numPr>
        <w:spacing w:after="60" w:line="276" w:lineRule="auto"/>
        <w:ind w:left="426" w:hanging="426"/>
        <w:rPr>
          <w:color w:val="000000"/>
        </w:rPr>
      </w:pPr>
      <w:r>
        <w:rPr>
          <w:color w:val="000000"/>
        </w:rPr>
        <w:t>náklady na organizaci setkání s veřejností (např. pronájem sálů, ozvučení),</w:t>
      </w:r>
    </w:p>
    <w:p w:rsidR="00FD7D1B" w:rsidRDefault="00FD7D1B" w:rsidP="00FD7D1B">
      <w:pPr>
        <w:pStyle w:val="Zkladntextodsazen"/>
        <w:numPr>
          <w:ilvl w:val="0"/>
          <w:numId w:val="26"/>
        </w:numPr>
        <w:spacing w:after="120" w:line="276" w:lineRule="auto"/>
        <w:ind w:left="426" w:hanging="426"/>
        <w:rPr>
          <w:color w:val="000000"/>
        </w:rPr>
      </w:pPr>
      <w:r>
        <w:rPr>
          <w:color w:val="000000"/>
        </w:rPr>
        <w:t>úhradu poplatku za vydání výpisu z evidence Rejstříku trestů za účelem prokázání bezúhonnosti bezpečnostních dobrovolníků.</w:t>
      </w:r>
    </w:p>
    <w:p w:rsidR="00FD7D1B" w:rsidRDefault="00FD7D1B" w:rsidP="00FD7D1B">
      <w:pPr>
        <w:pStyle w:val="Zkladntextodsazen"/>
        <w:spacing w:line="276" w:lineRule="auto"/>
        <w:ind w:left="425"/>
        <w:rPr>
          <w:color w:val="000000"/>
        </w:rPr>
      </w:pPr>
    </w:p>
    <w:p w:rsidR="00FD7D1B" w:rsidRDefault="00FD7D1B" w:rsidP="00FD7D1B">
      <w:pPr>
        <w:pStyle w:val="Zkladntextodsazen"/>
        <w:numPr>
          <w:ilvl w:val="0"/>
          <w:numId w:val="25"/>
        </w:numPr>
        <w:spacing w:after="60" w:line="276" w:lineRule="auto"/>
        <w:rPr>
          <w:color w:val="000000"/>
        </w:rPr>
      </w:pPr>
      <w:r>
        <w:rPr>
          <w:color w:val="000000"/>
        </w:rPr>
        <w:t xml:space="preserve">Dotaci nelze poskytnout </w:t>
      </w:r>
      <w:proofErr w:type="gramStart"/>
      <w:r>
        <w:rPr>
          <w:color w:val="000000"/>
        </w:rPr>
        <w:t>na</w:t>
      </w:r>
      <w:proofErr w:type="gramEnd"/>
      <w:r>
        <w:rPr>
          <w:color w:val="000000"/>
        </w:rPr>
        <w:t xml:space="preserve"> </w:t>
      </w:r>
    </w:p>
    <w:p w:rsidR="00FD7D1B" w:rsidRDefault="00FD7D1B" w:rsidP="00FD7D1B">
      <w:pPr>
        <w:pStyle w:val="Zkladntextodsazen"/>
        <w:numPr>
          <w:ilvl w:val="0"/>
          <w:numId w:val="27"/>
        </w:numPr>
        <w:spacing w:after="60" w:line="276" w:lineRule="auto"/>
        <w:ind w:left="426" w:hanging="426"/>
        <w:rPr>
          <w:color w:val="auto"/>
        </w:rPr>
      </w:pPr>
      <w:r>
        <w:rPr>
          <w:color w:val="auto"/>
        </w:rPr>
        <w:t xml:space="preserve">mzdy </w:t>
      </w:r>
      <w:r w:rsidR="00FF40DB">
        <w:rPr>
          <w:color w:val="auto"/>
        </w:rPr>
        <w:t xml:space="preserve">či odměny </w:t>
      </w:r>
      <w:r>
        <w:rPr>
          <w:color w:val="auto"/>
        </w:rPr>
        <w:t xml:space="preserve">zaměstnanců (s výjimkou </w:t>
      </w:r>
      <w:r w:rsidR="008E35A3">
        <w:rPr>
          <w:color w:val="auto"/>
        </w:rPr>
        <w:t>odměn koord</w:t>
      </w:r>
      <w:r>
        <w:rPr>
          <w:color w:val="auto"/>
        </w:rPr>
        <w:t>inátora bezpečnostních dobrovolníků a vedoucího projektu), motivační odměny vyplácené v penězích nebo poukázkách,</w:t>
      </w:r>
    </w:p>
    <w:p w:rsidR="00FD7D1B" w:rsidRDefault="00FD7D1B" w:rsidP="00FD7D1B">
      <w:pPr>
        <w:pStyle w:val="Zkladntextodsazen"/>
        <w:numPr>
          <w:ilvl w:val="0"/>
          <w:numId w:val="27"/>
        </w:numPr>
        <w:spacing w:after="60" w:line="276" w:lineRule="auto"/>
        <w:ind w:left="426" w:hanging="426"/>
        <w:rPr>
          <w:color w:val="auto"/>
        </w:rPr>
      </w:pPr>
      <w:r>
        <w:rPr>
          <w:color w:val="auto"/>
        </w:rPr>
        <w:t>státní sociální výdaje na zaměstnance, ke kterým nejsou zaměstnavatelé povinni dle zvláštních právních předpisů (příspěvky na penzijní připojištění, životní pojištění, dary k životním jubileím, příspěvky na rekreaci apod.),</w:t>
      </w:r>
      <w:r>
        <w:rPr>
          <w:color w:val="auto"/>
        </w:rPr>
        <w:tab/>
      </w:r>
    </w:p>
    <w:p w:rsidR="00FD7D1B" w:rsidRDefault="00FD7D1B" w:rsidP="00FD7D1B">
      <w:pPr>
        <w:pStyle w:val="Zkladntextodsazen"/>
        <w:numPr>
          <w:ilvl w:val="0"/>
          <w:numId w:val="27"/>
        </w:numPr>
        <w:spacing w:after="60" w:line="276" w:lineRule="auto"/>
        <w:ind w:left="426" w:hanging="426"/>
        <w:rPr>
          <w:color w:val="auto"/>
        </w:rPr>
      </w:pPr>
      <w:r>
        <w:rPr>
          <w:color w:val="auto"/>
        </w:rPr>
        <w:t xml:space="preserve">zřízení pevných telefonních linek, </w:t>
      </w:r>
    </w:p>
    <w:p w:rsidR="00FD7D1B" w:rsidRDefault="00FD7D1B" w:rsidP="00FD7D1B">
      <w:pPr>
        <w:pStyle w:val="Zkladntextodsazen"/>
        <w:numPr>
          <w:ilvl w:val="0"/>
          <w:numId w:val="27"/>
        </w:numPr>
        <w:spacing w:after="60" w:line="276" w:lineRule="auto"/>
        <w:ind w:left="426" w:hanging="426"/>
        <w:rPr>
          <w:color w:val="auto"/>
        </w:rPr>
      </w:pPr>
      <w:r>
        <w:rPr>
          <w:color w:val="auto"/>
        </w:rPr>
        <w:t>nákup automobilů a jiných motorových vozidel, leasingové splátky,</w:t>
      </w:r>
    </w:p>
    <w:p w:rsidR="00FD7D1B" w:rsidRDefault="00FD7D1B" w:rsidP="00FD7D1B">
      <w:pPr>
        <w:pStyle w:val="Zkladntextodsazen"/>
        <w:numPr>
          <w:ilvl w:val="0"/>
          <w:numId w:val="27"/>
        </w:numPr>
        <w:spacing w:after="60" w:line="276" w:lineRule="auto"/>
        <w:ind w:left="425" w:hanging="425"/>
        <w:rPr>
          <w:color w:val="auto"/>
        </w:rPr>
      </w:pPr>
      <w:r>
        <w:rPr>
          <w:color w:val="auto"/>
        </w:rPr>
        <w:t>financování podnikatelských a výdělečných aktivit,</w:t>
      </w:r>
    </w:p>
    <w:p w:rsidR="00FD7D1B" w:rsidRDefault="00FD7D1B" w:rsidP="00FD7D1B">
      <w:pPr>
        <w:pStyle w:val="Zkladntextodsazen"/>
        <w:numPr>
          <w:ilvl w:val="0"/>
          <w:numId w:val="27"/>
        </w:numPr>
        <w:spacing w:after="60" w:line="276" w:lineRule="auto"/>
        <w:ind w:left="426" w:hanging="426"/>
        <w:rPr>
          <w:color w:val="auto"/>
        </w:rPr>
      </w:pPr>
      <w:r>
        <w:rPr>
          <w:color w:val="auto"/>
        </w:rPr>
        <w:t xml:space="preserve">cesty do zahraničí a stáže v zahraničí, </w:t>
      </w:r>
    </w:p>
    <w:p w:rsidR="00FD7D1B" w:rsidRDefault="00FD7D1B" w:rsidP="00FD7D1B">
      <w:pPr>
        <w:pStyle w:val="Zkladntextodsazen"/>
        <w:numPr>
          <w:ilvl w:val="0"/>
          <w:numId w:val="27"/>
        </w:numPr>
        <w:spacing w:after="60" w:line="276" w:lineRule="auto"/>
        <w:ind w:left="426" w:hanging="426"/>
        <w:rPr>
          <w:color w:val="auto"/>
        </w:rPr>
      </w:pPr>
      <w:r>
        <w:rPr>
          <w:color w:val="auto"/>
        </w:rPr>
        <w:t>náklady na reprezentaci (např. dary, pohoštění),</w:t>
      </w:r>
    </w:p>
    <w:p w:rsidR="00FD7D1B" w:rsidRDefault="00FD7D1B" w:rsidP="00FD7D1B">
      <w:pPr>
        <w:pStyle w:val="Zkladntextodsazen"/>
        <w:numPr>
          <w:ilvl w:val="0"/>
          <w:numId w:val="27"/>
        </w:numPr>
        <w:spacing w:after="60" w:line="276" w:lineRule="auto"/>
        <w:ind w:left="426" w:hanging="426"/>
        <w:rPr>
          <w:color w:val="auto"/>
        </w:rPr>
      </w:pPr>
      <w:r>
        <w:rPr>
          <w:color w:val="auto"/>
        </w:rPr>
        <w:t>odměny statutárních orgánů,</w:t>
      </w:r>
    </w:p>
    <w:p w:rsidR="00FD7D1B" w:rsidRDefault="00FD7D1B" w:rsidP="00FD7D1B">
      <w:pPr>
        <w:pStyle w:val="Zkladntextodsazen"/>
        <w:numPr>
          <w:ilvl w:val="0"/>
          <w:numId w:val="27"/>
        </w:numPr>
        <w:spacing w:after="60" w:line="276" w:lineRule="auto"/>
        <w:ind w:left="426" w:hanging="426"/>
        <w:rPr>
          <w:color w:val="auto"/>
        </w:rPr>
      </w:pPr>
      <w:r>
        <w:rPr>
          <w:color w:val="auto"/>
        </w:rPr>
        <w:t>členské příspěvky v mezinárodních institucích,</w:t>
      </w:r>
    </w:p>
    <w:p w:rsidR="00FD7D1B" w:rsidRDefault="00FD7D1B" w:rsidP="00FD7D1B">
      <w:pPr>
        <w:pStyle w:val="Zkladntextodsazen"/>
        <w:numPr>
          <w:ilvl w:val="0"/>
          <w:numId w:val="27"/>
        </w:numPr>
        <w:spacing w:after="60" w:line="276" w:lineRule="auto"/>
        <w:ind w:left="426" w:hanging="426"/>
        <w:rPr>
          <w:color w:val="auto"/>
        </w:rPr>
      </w:pPr>
      <w:r>
        <w:rPr>
          <w:color w:val="auto"/>
        </w:rPr>
        <w:t>splátky půjček a dluhů,</w:t>
      </w:r>
    </w:p>
    <w:p w:rsidR="00FD7D1B" w:rsidRDefault="00FD7D1B" w:rsidP="00FD7D1B">
      <w:pPr>
        <w:pStyle w:val="Zkladntextodsazen"/>
        <w:numPr>
          <w:ilvl w:val="0"/>
          <w:numId w:val="27"/>
        </w:numPr>
        <w:spacing w:after="60" w:line="276" w:lineRule="auto"/>
        <w:ind w:left="426" w:hanging="426"/>
        <w:rPr>
          <w:color w:val="auto"/>
        </w:rPr>
      </w:pPr>
      <w:r>
        <w:rPr>
          <w:color w:val="auto"/>
        </w:rPr>
        <w:t>tvorbu kapitálového jmění,</w:t>
      </w:r>
    </w:p>
    <w:p w:rsidR="00FD7D1B" w:rsidRDefault="00FD7D1B" w:rsidP="00FD7D1B">
      <w:pPr>
        <w:pStyle w:val="Zkladntextodsazen"/>
        <w:numPr>
          <w:ilvl w:val="0"/>
          <w:numId w:val="27"/>
        </w:numPr>
        <w:spacing w:after="60" w:line="276" w:lineRule="auto"/>
        <w:ind w:left="426" w:hanging="426"/>
        <w:rPr>
          <w:color w:val="auto"/>
        </w:rPr>
      </w:pPr>
      <w:r>
        <w:rPr>
          <w:color w:val="auto"/>
        </w:rPr>
        <w:t>provedení účetního auditu,</w:t>
      </w:r>
    </w:p>
    <w:p w:rsidR="00FD7D1B" w:rsidRDefault="00FD7D1B" w:rsidP="00FD7D1B">
      <w:pPr>
        <w:pStyle w:val="Zkladntextodsazen"/>
        <w:numPr>
          <w:ilvl w:val="0"/>
          <w:numId w:val="27"/>
        </w:numPr>
        <w:spacing w:after="60" w:line="276" w:lineRule="auto"/>
        <w:ind w:left="426" w:hanging="426"/>
        <w:rPr>
          <w:color w:val="auto"/>
        </w:rPr>
      </w:pPr>
      <w:r>
        <w:rPr>
          <w:color w:val="auto"/>
        </w:rPr>
        <w:t>pokuty, úroky z prodlení, penále, odpisy pohledávek, úroky, manka a škody,</w:t>
      </w:r>
    </w:p>
    <w:p w:rsidR="00FD7D1B" w:rsidRDefault="00FD7D1B" w:rsidP="00FD7D1B">
      <w:pPr>
        <w:pStyle w:val="Zkladntextodsazen"/>
        <w:numPr>
          <w:ilvl w:val="0"/>
          <w:numId w:val="27"/>
        </w:numPr>
        <w:spacing w:after="60" w:line="276" w:lineRule="auto"/>
        <w:ind w:left="426" w:hanging="426"/>
        <w:rPr>
          <w:color w:val="auto"/>
        </w:rPr>
      </w:pPr>
      <w:r>
        <w:rPr>
          <w:color w:val="auto"/>
        </w:rPr>
        <w:t>náklady na provoz (nejedná-li se o provoz zařízení souvisejících přímo s výkonem činnosti bezpečnostních dobrovolníků),</w:t>
      </w:r>
    </w:p>
    <w:p w:rsidR="00FD7D1B" w:rsidRDefault="00FD7D1B" w:rsidP="00FD7D1B">
      <w:pPr>
        <w:pStyle w:val="Zkladntextodsazen"/>
        <w:numPr>
          <w:ilvl w:val="0"/>
          <w:numId w:val="27"/>
        </w:numPr>
        <w:spacing w:after="60" w:line="276" w:lineRule="auto"/>
        <w:ind w:left="426" w:hanging="426"/>
        <w:rPr>
          <w:color w:val="auto"/>
        </w:rPr>
      </w:pPr>
      <w:r>
        <w:rPr>
          <w:color w:val="auto"/>
        </w:rPr>
        <w:t>nespecifikované výdaje (tj. výdaje, které nelze účetně doložit),</w:t>
      </w:r>
    </w:p>
    <w:p w:rsidR="00FD7D1B" w:rsidRDefault="00FD7D1B" w:rsidP="00FD7D1B">
      <w:pPr>
        <w:pStyle w:val="Zkladntextodsazen"/>
        <w:numPr>
          <w:ilvl w:val="0"/>
          <w:numId w:val="27"/>
        </w:numPr>
        <w:spacing w:after="60" w:line="276" w:lineRule="auto"/>
        <w:ind w:left="426" w:hanging="426"/>
        <w:rPr>
          <w:color w:val="auto"/>
        </w:rPr>
      </w:pPr>
      <w:r>
        <w:rPr>
          <w:color w:val="auto"/>
        </w:rPr>
        <w:t>DPH, o jejíž vrácení je možné právoplatně žádat,</w:t>
      </w:r>
    </w:p>
    <w:p w:rsidR="00FD7D1B" w:rsidRDefault="00FD7D1B" w:rsidP="00FD7D1B">
      <w:pPr>
        <w:pStyle w:val="Zkladntextodsazen"/>
        <w:numPr>
          <w:ilvl w:val="0"/>
          <w:numId w:val="27"/>
        </w:numPr>
        <w:spacing w:after="60" w:line="276" w:lineRule="auto"/>
        <w:ind w:left="426" w:hanging="426"/>
        <w:rPr>
          <w:color w:val="auto"/>
        </w:rPr>
      </w:pPr>
      <w:r>
        <w:rPr>
          <w:color w:val="auto"/>
        </w:rPr>
        <w:t>školení, kurzy a workshopy, jejichž obsahová náplň nesouvisí s činností bezpečnostních dobrovolníků,</w:t>
      </w:r>
    </w:p>
    <w:p w:rsidR="00FD7D1B" w:rsidRDefault="00FD7D1B" w:rsidP="00FD7D1B">
      <w:pPr>
        <w:pStyle w:val="Zkladntextodsazen"/>
        <w:numPr>
          <w:ilvl w:val="0"/>
          <w:numId w:val="27"/>
        </w:numPr>
        <w:spacing w:after="60" w:line="276" w:lineRule="auto"/>
        <w:ind w:left="426" w:hanging="426"/>
        <w:rPr>
          <w:color w:val="auto"/>
        </w:rPr>
      </w:pPr>
      <w:r>
        <w:rPr>
          <w:color w:val="auto"/>
        </w:rPr>
        <w:t xml:space="preserve">nákup věcí osobní potřeby, které přímo nesouvisejí s realizací projektu, </w:t>
      </w:r>
    </w:p>
    <w:p w:rsidR="00FD7D1B" w:rsidRDefault="00FD7D1B" w:rsidP="00FD7D1B">
      <w:pPr>
        <w:pStyle w:val="Zkladntextodsazen"/>
        <w:numPr>
          <w:ilvl w:val="0"/>
          <w:numId w:val="27"/>
        </w:numPr>
        <w:spacing w:after="120" w:line="276" w:lineRule="auto"/>
        <w:ind w:left="426" w:hanging="426"/>
        <w:rPr>
          <w:color w:val="auto"/>
        </w:rPr>
      </w:pPr>
      <w:r w:rsidRPr="006065AA">
        <w:rPr>
          <w:color w:val="auto"/>
        </w:rPr>
        <w:t xml:space="preserve">nákup vybavení nesloužícího k preventivním účelům (např. zbraně či donucovací prostředky ve smyslu § 52 zákona č. 273/2008 Sb., o Policii České republiky, ve znění pozdějších předpisů, anebo donucovací prostředky ve </w:t>
      </w:r>
      <w:r w:rsidRPr="00D31592">
        <w:rPr>
          <w:color w:val="auto"/>
        </w:rPr>
        <w:t xml:space="preserve">smyslu § 18 zákona č. 553/1991 Sb., o obecní policii, ve znění pozdějších předpisů, </w:t>
      </w:r>
      <w:r w:rsidRPr="009C35AD">
        <w:rPr>
          <w:color w:val="auto"/>
        </w:rPr>
        <w:t>s výjimkou slzotvorných dočasně zneschopňujících prostředků)</w:t>
      </w:r>
      <w:r w:rsidR="006065AA">
        <w:rPr>
          <w:color w:val="auto"/>
        </w:rPr>
        <w:t>,</w:t>
      </w:r>
    </w:p>
    <w:p w:rsidR="006065AA" w:rsidRPr="009C35AD" w:rsidRDefault="006065AA" w:rsidP="00FD7D1B">
      <w:pPr>
        <w:pStyle w:val="Zkladntextodsazen"/>
        <w:numPr>
          <w:ilvl w:val="0"/>
          <w:numId w:val="27"/>
        </w:numPr>
        <w:spacing w:after="120" w:line="276" w:lineRule="auto"/>
        <w:ind w:left="426" w:hanging="426"/>
        <w:rPr>
          <w:color w:val="auto"/>
        </w:rPr>
      </w:pPr>
      <w:r>
        <w:rPr>
          <w:color w:val="auto"/>
        </w:rPr>
        <w:t>výdaje nesouvisející s realizací projektu.</w:t>
      </w:r>
    </w:p>
    <w:p w:rsidR="00FD7D1B" w:rsidRDefault="00FD7D1B" w:rsidP="00FD7D1B">
      <w:pPr>
        <w:pStyle w:val="Zkladntextodsazen"/>
        <w:spacing w:after="120" w:line="276" w:lineRule="auto"/>
        <w:rPr>
          <w:b/>
          <w:color w:val="FF0000"/>
        </w:rPr>
      </w:pP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Čl. 4</w:t>
      </w:r>
    </w:p>
    <w:p w:rsidR="00FD7D1B" w:rsidRDefault="00FD7D1B" w:rsidP="00FD7D1B">
      <w:pPr>
        <w:pStyle w:val="Nadpis3"/>
        <w:spacing w:after="120" w:line="276" w:lineRule="auto"/>
      </w:pPr>
      <w:r>
        <w:t>Žádost o dotaci</w:t>
      </w:r>
    </w:p>
    <w:p w:rsidR="00FD7D1B" w:rsidRDefault="00FD7D1B" w:rsidP="00FD7D1B">
      <w:pPr>
        <w:numPr>
          <w:ilvl w:val="0"/>
          <w:numId w:val="28"/>
        </w:numPr>
        <w:spacing w:after="120" w:line="276" w:lineRule="auto"/>
        <w:jc w:val="both"/>
        <w:rPr>
          <w:rFonts w:ascii="Arial" w:hAnsi="Arial" w:cs="Arial"/>
          <w:color w:val="000000"/>
          <w:sz w:val="22"/>
          <w:szCs w:val="22"/>
        </w:rPr>
      </w:pPr>
      <w:r>
        <w:rPr>
          <w:rFonts w:ascii="Arial" w:hAnsi="Arial" w:cs="Arial"/>
          <w:color w:val="000000"/>
          <w:sz w:val="22"/>
          <w:szCs w:val="22"/>
        </w:rPr>
        <w:t xml:space="preserve">Základní podmínkou pro poskytnutí dotace je podání žádosti o dotaci statutárním zástupcem žadatele. </w:t>
      </w:r>
    </w:p>
    <w:p w:rsidR="00FD7D1B" w:rsidRDefault="00FD7D1B" w:rsidP="00FD7D1B">
      <w:pPr>
        <w:numPr>
          <w:ilvl w:val="0"/>
          <w:numId w:val="28"/>
        </w:numPr>
        <w:spacing w:after="120" w:line="276" w:lineRule="auto"/>
        <w:jc w:val="both"/>
        <w:rPr>
          <w:rFonts w:ascii="Arial" w:hAnsi="Arial" w:cs="Arial"/>
          <w:color w:val="000000"/>
          <w:sz w:val="22"/>
          <w:szCs w:val="22"/>
        </w:rPr>
      </w:pPr>
      <w:r>
        <w:rPr>
          <w:rFonts w:ascii="Arial" w:hAnsi="Arial" w:cs="Arial"/>
          <w:color w:val="000000"/>
          <w:sz w:val="22"/>
          <w:szCs w:val="22"/>
        </w:rPr>
        <w:t>Dotace ze státního rozpočtu se poskytuje až do výše 100 % rozpočtovaných nákladů. Duplicita stejných nákladů projektu ze státního rozpočtu není dovolena.</w:t>
      </w:r>
    </w:p>
    <w:p w:rsidR="00FD7D1B" w:rsidRDefault="00FD7D1B" w:rsidP="00FD7D1B">
      <w:pPr>
        <w:numPr>
          <w:ilvl w:val="0"/>
          <w:numId w:val="28"/>
        </w:numPr>
        <w:spacing w:after="120" w:line="276" w:lineRule="auto"/>
        <w:jc w:val="both"/>
        <w:rPr>
          <w:rFonts w:ascii="Arial" w:hAnsi="Arial" w:cs="Arial"/>
          <w:color w:val="000000"/>
          <w:sz w:val="22"/>
          <w:szCs w:val="22"/>
        </w:rPr>
      </w:pPr>
      <w:r>
        <w:rPr>
          <w:rFonts w:ascii="Arial" w:hAnsi="Arial" w:cs="Arial"/>
          <w:color w:val="000000"/>
          <w:sz w:val="22"/>
          <w:szCs w:val="22"/>
        </w:rPr>
        <w:t xml:space="preserve">Na poskytnutí dotace není právní nárok. Poskytnutí dotace nezakládá jejímu příjemci nárok na poskytnutí dotace v následujícím kalendářním roce nebo období. </w:t>
      </w:r>
    </w:p>
    <w:p w:rsidR="00FD7D1B" w:rsidRDefault="00FD7D1B" w:rsidP="00FD7D1B">
      <w:pPr>
        <w:numPr>
          <w:ilvl w:val="0"/>
          <w:numId w:val="28"/>
        </w:numPr>
        <w:spacing w:after="120" w:line="276" w:lineRule="auto"/>
        <w:jc w:val="both"/>
        <w:rPr>
          <w:rFonts w:ascii="Arial" w:hAnsi="Arial" w:cs="Arial"/>
          <w:color w:val="000000"/>
          <w:sz w:val="22"/>
          <w:szCs w:val="22"/>
        </w:rPr>
      </w:pPr>
      <w:r>
        <w:rPr>
          <w:rFonts w:ascii="Arial" w:hAnsi="Arial" w:cs="Arial"/>
          <w:color w:val="000000"/>
          <w:sz w:val="22"/>
          <w:szCs w:val="22"/>
        </w:rPr>
        <w:lastRenderedPageBreak/>
        <w:t>Předložená žádost o poskytnutí dotace ze státního rozpočtu do dotačního řízení se žadateli zpět nevrací.</w:t>
      </w:r>
    </w:p>
    <w:p w:rsidR="00FF40DB" w:rsidRDefault="00FF40DB" w:rsidP="00FD7D1B">
      <w:pPr>
        <w:numPr>
          <w:ilvl w:val="0"/>
          <w:numId w:val="28"/>
        </w:numPr>
        <w:spacing w:after="120" w:line="276" w:lineRule="auto"/>
        <w:jc w:val="both"/>
        <w:rPr>
          <w:rFonts w:ascii="Arial" w:hAnsi="Arial" w:cs="Arial"/>
          <w:color w:val="000000"/>
          <w:sz w:val="22"/>
          <w:szCs w:val="22"/>
        </w:rPr>
      </w:pPr>
      <w:r>
        <w:rPr>
          <w:rFonts w:ascii="Arial" w:hAnsi="Arial" w:cs="Arial"/>
          <w:color w:val="000000"/>
          <w:sz w:val="22"/>
          <w:szCs w:val="22"/>
        </w:rPr>
        <w:t>Žádost o dotaci musí být v souladu s povinnými náležitostmi projekt</w:t>
      </w:r>
      <w:r w:rsidR="006065AA">
        <w:rPr>
          <w:rFonts w:ascii="Arial" w:hAnsi="Arial" w:cs="Arial"/>
          <w:color w:val="000000"/>
          <w:sz w:val="22"/>
          <w:szCs w:val="22"/>
        </w:rPr>
        <w:t>u</w:t>
      </w:r>
      <w:r>
        <w:rPr>
          <w:rFonts w:ascii="Arial" w:hAnsi="Arial" w:cs="Arial"/>
          <w:color w:val="000000"/>
          <w:sz w:val="22"/>
          <w:szCs w:val="22"/>
        </w:rPr>
        <w:t xml:space="preserve"> stanovenými v příloze </w:t>
      </w:r>
      <w:proofErr w:type="gramStart"/>
      <w:r w:rsidRPr="009C35AD">
        <w:rPr>
          <w:rFonts w:ascii="Arial" w:hAnsi="Arial" w:cs="Arial"/>
          <w:sz w:val="22"/>
          <w:szCs w:val="22"/>
        </w:rPr>
        <w:t>č.</w:t>
      </w:r>
      <w:r w:rsidR="009C35AD">
        <w:rPr>
          <w:rFonts w:ascii="Arial" w:hAnsi="Arial" w:cs="Arial"/>
          <w:sz w:val="22"/>
          <w:szCs w:val="22"/>
        </w:rPr>
        <w:t xml:space="preserve"> 1  </w:t>
      </w:r>
      <w:r w:rsidRPr="009C35AD">
        <w:rPr>
          <w:rFonts w:ascii="Arial" w:hAnsi="Arial" w:cs="Arial"/>
          <w:sz w:val="22"/>
          <w:szCs w:val="22"/>
        </w:rPr>
        <w:t>Zásad</w:t>
      </w:r>
      <w:proofErr w:type="gramEnd"/>
      <w:r w:rsidRPr="009C35AD">
        <w:rPr>
          <w:rFonts w:ascii="Arial" w:hAnsi="Arial" w:cs="Arial"/>
          <w:sz w:val="22"/>
          <w:szCs w:val="22"/>
        </w:rPr>
        <w:t>.</w:t>
      </w:r>
    </w:p>
    <w:p w:rsidR="00FD7D1B" w:rsidRDefault="00FD7D1B" w:rsidP="00FD7D1B">
      <w:pPr>
        <w:spacing w:line="276" w:lineRule="auto"/>
        <w:ind w:firstLine="709"/>
        <w:jc w:val="both"/>
        <w:rPr>
          <w:rFonts w:ascii="Arial" w:hAnsi="Arial" w:cs="Arial"/>
        </w:rPr>
      </w:pP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Čl. 5</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Výběrové dotační řízení</w:t>
      </w:r>
    </w:p>
    <w:p w:rsidR="00FD7D1B" w:rsidRDefault="00FD7D1B" w:rsidP="00FD7D1B">
      <w:pPr>
        <w:numPr>
          <w:ilvl w:val="0"/>
          <w:numId w:val="29"/>
        </w:numPr>
        <w:spacing w:after="120" w:line="276" w:lineRule="auto"/>
        <w:jc w:val="both"/>
        <w:rPr>
          <w:rFonts w:ascii="Arial" w:hAnsi="Arial" w:cs="Arial"/>
          <w:color w:val="000000"/>
          <w:sz w:val="22"/>
          <w:szCs w:val="22"/>
        </w:rPr>
      </w:pPr>
      <w:r>
        <w:rPr>
          <w:rFonts w:ascii="Arial" w:hAnsi="Arial" w:cs="Arial"/>
          <w:color w:val="000000"/>
          <w:sz w:val="22"/>
          <w:szCs w:val="22"/>
        </w:rPr>
        <w:t>Pro přijímání, projednávání, hodnocení žádostí a pro stanovení výše poskytované dotace ze státního rozpočtu je stanoven následující postup.</w:t>
      </w:r>
    </w:p>
    <w:p w:rsidR="00FD7D1B" w:rsidRDefault="00FD7D1B" w:rsidP="00FD7D1B">
      <w:pPr>
        <w:pStyle w:val="Zkladntextodsazen"/>
        <w:numPr>
          <w:ilvl w:val="0"/>
          <w:numId w:val="30"/>
        </w:numPr>
        <w:spacing w:after="120" w:line="276" w:lineRule="auto"/>
        <w:ind w:left="426" w:hanging="426"/>
        <w:rPr>
          <w:color w:val="auto"/>
        </w:rPr>
      </w:pPr>
      <w:r>
        <w:rPr>
          <w:color w:val="auto"/>
        </w:rPr>
        <w:t>Dotační program je vyhlášen ředitelem odboru bezpečnostní politiky a prevence kriminality Ministerstva vnitra. Vyhlášení</w:t>
      </w:r>
      <w:r>
        <w:t xml:space="preserve"> </w:t>
      </w:r>
      <w:r>
        <w:rPr>
          <w:color w:val="auto"/>
        </w:rPr>
        <w:t>dotačního programu je zveřejněno na webových stránkách Ministerstva vnitra, popř. na úřední desce Ministerstva vnitra, případně také jiným vhodným způsobem.</w:t>
      </w:r>
    </w:p>
    <w:p w:rsidR="00FD7D1B" w:rsidRPr="009C35AD" w:rsidRDefault="00FD7D1B" w:rsidP="00FD7D1B">
      <w:pPr>
        <w:pStyle w:val="Zkladntextodsazen"/>
        <w:numPr>
          <w:ilvl w:val="0"/>
          <w:numId w:val="30"/>
        </w:numPr>
        <w:spacing w:after="120" w:line="276" w:lineRule="auto"/>
        <w:ind w:left="426" w:hanging="426"/>
        <w:rPr>
          <w:color w:val="auto"/>
        </w:rPr>
      </w:pPr>
      <w:r>
        <w:rPr>
          <w:color w:val="auto"/>
        </w:rPr>
        <w:t xml:space="preserve">Žádosti o přiznání dotace se podávají v termínu stanoveném vyhlášením. Žádost se podává v listinné formě anebo elektronicky prostřednictvím datové schránky Ministerstva vnitra a v kopii vždy v elektronické podobě na e-mailovou adresu </w:t>
      </w:r>
      <w:r w:rsidR="00FF40DB">
        <w:rPr>
          <w:color w:val="auto"/>
        </w:rPr>
        <w:t xml:space="preserve"> </w:t>
      </w:r>
      <w:r w:rsidR="00FF40DB" w:rsidRPr="009C35AD">
        <w:rPr>
          <w:color w:val="auto"/>
        </w:rPr>
        <w:t>tatjana.elznicova@mvcr.cz</w:t>
      </w:r>
      <w:r w:rsidRPr="009C35AD">
        <w:rPr>
          <w:color w:val="auto"/>
        </w:rPr>
        <w:t>, a to na formulář</w:t>
      </w:r>
      <w:r w:rsidR="00D819F3">
        <w:rPr>
          <w:color w:val="auto"/>
        </w:rPr>
        <w:t>ích</w:t>
      </w:r>
      <w:r w:rsidRPr="009C35AD">
        <w:rPr>
          <w:color w:val="auto"/>
        </w:rPr>
        <w:t xml:space="preserve">, </w:t>
      </w:r>
      <w:r w:rsidRPr="009C35AD">
        <w:rPr>
          <w:color w:val="000000"/>
        </w:rPr>
        <w:t>kter</w:t>
      </w:r>
      <w:r w:rsidR="00D819F3">
        <w:rPr>
          <w:color w:val="000000"/>
        </w:rPr>
        <w:t>é</w:t>
      </w:r>
      <w:r w:rsidRPr="009C35AD">
        <w:rPr>
          <w:color w:val="000000"/>
        </w:rPr>
        <w:t xml:space="preserve"> tvoří </w:t>
      </w:r>
      <w:r w:rsidRPr="009C35AD">
        <w:rPr>
          <w:color w:val="auto"/>
        </w:rPr>
        <w:t xml:space="preserve">přílohu č. </w:t>
      </w:r>
      <w:r w:rsidR="009C35AD" w:rsidRPr="009C35AD">
        <w:rPr>
          <w:color w:val="auto"/>
        </w:rPr>
        <w:t>2</w:t>
      </w:r>
      <w:r w:rsidRPr="009C35AD">
        <w:rPr>
          <w:color w:val="auto"/>
        </w:rPr>
        <w:t xml:space="preserve"> těchto Zásad</w:t>
      </w:r>
      <w:r w:rsidR="007A7D73">
        <w:rPr>
          <w:color w:val="auto"/>
        </w:rPr>
        <w:t xml:space="preserve">. Povinnou součástí žádosti jsou formuláře: </w:t>
      </w:r>
      <w:r w:rsidR="006416DA">
        <w:rPr>
          <w:color w:val="auto"/>
        </w:rPr>
        <w:t xml:space="preserve">I. Žádost o stání účelovou dotaci, </w:t>
      </w:r>
      <w:r w:rsidR="007A7D73">
        <w:rPr>
          <w:color w:val="auto"/>
        </w:rPr>
        <w:t xml:space="preserve">II. </w:t>
      </w:r>
      <w:r w:rsidR="006416DA">
        <w:rPr>
          <w:color w:val="auto"/>
        </w:rPr>
        <w:t>I</w:t>
      </w:r>
      <w:r w:rsidR="007A7D73">
        <w:rPr>
          <w:color w:val="auto"/>
        </w:rPr>
        <w:t>nformace o identifikaci osob</w:t>
      </w:r>
      <w:r w:rsidR="007A7D73" w:rsidRPr="009C35AD">
        <w:rPr>
          <w:rStyle w:val="Znakapoznpodarou"/>
          <w:color w:val="000000"/>
        </w:rPr>
        <w:footnoteReference w:id="1"/>
      </w:r>
      <w:r w:rsidR="007A7D73">
        <w:rPr>
          <w:color w:val="auto"/>
        </w:rPr>
        <w:t xml:space="preserve">, III. </w:t>
      </w:r>
      <w:r w:rsidR="006416DA">
        <w:rPr>
          <w:color w:val="auto"/>
        </w:rPr>
        <w:t>P</w:t>
      </w:r>
      <w:r w:rsidR="007A7D73">
        <w:rPr>
          <w:color w:val="auto"/>
        </w:rPr>
        <w:t xml:space="preserve">opis projektu a IV. </w:t>
      </w:r>
      <w:r w:rsidR="006416DA">
        <w:rPr>
          <w:color w:val="auto"/>
        </w:rPr>
        <w:t>F</w:t>
      </w:r>
      <w:r w:rsidR="007A7D73">
        <w:rPr>
          <w:color w:val="auto"/>
        </w:rPr>
        <w:t xml:space="preserve">inanční část projektu. </w:t>
      </w:r>
    </w:p>
    <w:p w:rsidR="00FD7D1B" w:rsidRDefault="00FD7D1B" w:rsidP="00FD7D1B">
      <w:pPr>
        <w:pStyle w:val="Zkladntextodsazen"/>
        <w:numPr>
          <w:ilvl w:val="0"/>
          <w:numId w:val="30"/>
        </w:numPr>
        <w:spacing w:after="120" w:line="276" w:lineRule="auto"/>
        <w:ind w:left="426" w:hanging="426"/>
        <w:rPr>
          <w:color w:val="auto"/>
        </w:rPr>
      </w:pPr>
      <w:r>
        <w:rPr>
          <w:color w:val="auto"/>
        </w:rPr>
        <w:t xml:space="preserve">Žádost včetně všech příloh je nutno </w:t>
      </w:r>
      <w:r w:rsidR="00FF40DB">
        <w:rPr>
          <w:color w:val="auto"/>
        </w:rPr>
        <w:t xml:space="preserve">opatřit podpisem statutárního zástupce a razítkem žadatele a </w:t>
      </w:r>
      <w:r>
        <w:rPr>
          <w:color w:val="auto"/>
        </w:rPr>
        <w:t xml:space="preserve">zaslat v písemném vyhotovení na adresu: Ministerstvo vnitra, odbor bezpečnostní politiky a prevence kriminality, Nad Štolou 936/3, 170 34 Praha 7, anebo v elektronické podobě prostřednictvím datové schránky Ministerstva vnitra. Kopie žádosti včetně všech jejích příloh musí být současně zaslána v elektronické podobě na e-mailovou adresu </w:t>
      </w:r>
      <w:r w:rsidR="00FF40DB">
        <w:rPr>
          <w:color w:val="auto"/>
        </w:rPr>
        <w:t xml:space="preserve"> </w:t>
      </w:r>
      <w:hyperlink r:id="rId8" w:history="1">
        <w:r w:rsidR="00DB4E08" w:rsidRPr="00F8273C">
          <w:rPr>
            <w:rStyle w:val="Hypertextovodkaz"/>
          </w:rPr>
          <w:t>tatjana.elznicova@mvcr.cz</w:t>
        </w:r>
      </w:hyperlink>
      <w:r w:rsidR="006F08E7">
        <w:rPr>
          <w:color w:val="auto"/>
        </w:rPr>
        <w:t>.</w:t>
      </w:r>
      <w:r w:rsidR="00DB4E08">
        <w:rPr>
          <w:color w:val="auto"/>
        </w:rPr>
        <w:t xml:space="preserve"> </w:t>
      </w:r>
      <w:r w:rsidR="006F08E7">
        <w:rPr>
          <w:color w:val="auto"/>
        </w:rPr>
        <w:t>Elektronická podoba žádosti musí být kromě</w:t>
      </w:r>
      <w:r>
        <w:rPr>
          <w:color w:val="auto"/>
        </w:rPr>
        <w:t xml:space="preserve"> formátu Excel a Word </w:t>
      </w:r>
      <w:r w:rsidR="006F08E7">
        <w:rPr>
          <w:color w:val="auto"/>
        </w:rPr>
        <w:t>předána také ve formátu PDF, včetně všech jejich částí a příloh</w:t>
      </w:r>
      <w:r>
        <w:rPr>
          <w:color w:val="auto"/>
        </w:rPr>
        <w:t xml:space="preserve"> Rozhoduje vždy datum podání žádosti (tj. poštovní razítko podání originálů žádosti / datum odeslání zprávy datovou schránkou). </w:t>
      </w:r>
    </w:p>
    <w:p w:rsidR="00FD7D1B" w:rsidRDefault="00FD7D1B" w:rsidP="00FD7D1B">
      <w:pPr>
        <w:numPr>
          <w:ilvl w:val="0"/>
          <w:numId w:val="29"/>
        </w:numPr>
        <w:spacing w:after="120" w:line="276" w:lineRule="auto"/>
        <w:jc w:val="both"/>
        <w:rPr>
          <w:rFonts w:ascii="Arial" w:hAnsi="Arial" w:cs="Arial"/>
          <w:color w:val="000000"/>
          <w:sz w:val="22"/>
          <w:szCs w:val="22"/>
        </w:rPr>
      </w:pPr>
      <w:r>
        <w:rPr>
          <w:rFonts w:ascii="Arial" w:hAnsi="Arial" w:cs="Arial"/>
          <w:color w:val="000000"/>
          <w:sz w:val="22"/>
          <w:szCs w:val="22"/>
        </w:rPr>
        <w:t>Odbor bezpečnostní politiky a prevence kriminality Ministerstva vnitra provede kontrolu formální úplnosti všech náležitostí žádosti a dostatečné srozumitelnosti a detailnosti popisu realizace projektu, včetně zdůvodnění výše požadované dotace. Při zjištěných nedostatcích vyzve žadatele k doplnění, při závažnějších nedostatcích žádost z dotačního řízení vyřadí. Žádosti, které vyhoví formálním náležitostem, předloží Dotačnímu výboru pro poskytování dotací obcím v rámci programu Bezpečnostní dobrovolník (dále jen „dotační výbor“).</w:t>
      </w:r>
    </w:p>
    <w:p w:rsidR="00FD7D1B" w:rsidRDefault="00FD7D1B" w:rsidP="00FD7D1B">
      <w:pPr>
        <w:pStyle w:val="Zkladntextodsazen"/>
        <w:numPr>
          <w:ilvl w:val="0"/>
          <w:numId w:val="31"/>
        </w:numPr>
        <w:spacing w:after="120" w:line="276" w:lineRule="auto"/>
        <w:ind w:left="426" w:hanging="426"/>
        <w:rPr>
          <w:color w:val="auto"/>
        </w:rPr>
      </w:pPr>
      <w:r>
        <w:rPr>
          <w:color w:val="auto"/>
        </w:rPr>
        <w:t>Dotační výbor jednotlivé žádosti posoudí, navrhne poskytnutí a výši dotace a návrh předloží řediteli odboru bezpečnostní politiky a prevence kriminality Ministerstva vnitra.</w:t>
      </w:r>
    </w:p>
    <w:p w:rsidR="002B1BC3" w:rsidRPr="009C35AD" w:rsidRDefault="002B1BC3" w:rsidP="00FD7D1B">
      <w:pPr>
        <w:pStyle w:val="Zkladntextodsazen"/>
        <w:numPr>
          <w:ilvl w:val="0"/>
          <w:numId w:val="31"/>
        </w:numPr>
        <w:spacing w:after="120" w:line="276" w:lineRule="auto"/>
        <w:ind w:left="426" w:hanging="426"/>
        <w:rPr>
          <w:color w:val="auto"/>
        </w:rPr>
      </w:pPr>
      <w:r w:rsidRPr="009C35AD">
        <w:rPr>
          <w:color w:val="auto"/>
        </w:rPr>
        <w:t>Při posuzování žádosti bere dotační výbor v úvahu úplnost a správnost zpracování předložené žádosti podle stanovených požadavků, její odůvodněnost a věcný soulad žádosti s po</w:t>
      </w:r>
      <w:r w:rsidR="009C35AD">
        <w:rPr>
          <w:color w:val="auto"/>
        </w:rPr>
        <w:t xml:space="preserve">dmínkami uvedenými v příloze </w:t>
      </w:r>
      <w:proofErr w:type="gramStart"/>
      <w:r w:rsidR="009C35AD">
        <w:rPr>
          <w:color w:val="auto"/>
        </w:rPr>
        <w:t>č.</w:t>
      </w:r>
      <w:r w:rsidR="00830A3C">
        <w:rPr>
          <w:color w:val="auto"/>
        </w:rPr>
        <w:t xml:space="preserve"> 1</w:t>
      </w:r>
      <w:r w:rsidR="009C35AD">
        <w:rPr>
          <w:color w:val="auto"/>
        </w:rPr>
        <w:t xml:space="preserve"> </w:t>
      </w:r>
      <w:r w:rsidRPr="009C35AD">
        <w:rPr>
          <w:color w:val="auto"/>
        </w:rPr>
        <w:t>těchto</w:t>
      </w:r>
      <w:proofErr w:type="gramEnd"/>
      <w:r w:rsidRPr="009C35AD">
        <w:rPr>
          <w:color w:val="auto"/>
        </w:rPr>
        <w:t xml:space="preserve"> Zásad. Do výše poskytnuté dotace jsou promítnuty výsledky finančních a státních kontrol, a dále plnění povinností vyplývajících z čerpání dotace v předešlých letech. Komise nepřizná, příp. bude krátit </w:t>
      </w:r>
      <w:r w:rsidRPr="009C35AD">
        <w:rPr>
          <w:color w:val="auto"/>
        </w:rPr>
        <w:lastRenderedPageBreak/>
        <w:t>neuznatelné, neodůvodněné a nadhodnocené požadavky. V případě nedostatku finančních prostředků navrhne komise krácení všem oprávněným žadatelům stejným procentuálním podílem.</w:t>
      </w:r>
    </w:p>
    <w:p w:rsidR="00FD7D1B" w:rsidRDefault="00FD7D1B" w:rsidP="00FD7D1B">
      <w:pPr>
        <w:pStyle w:val="Zkladntextodsazen"/>
        <w:numPr>
          <w:ilvl w:val="0"/>
          <w:numId w:val="31"/>
        </w:numPr>
        <w:spacing w:after="120" w:line="276" w:lineRule="auto"/>
        <w:ind w:left="426" w:hanging="426"/>
        <w:rPr>
          <w:color w:val="auto"/>
        </w:rPr>
      </w:pPr>
      <w:r>
        <w:rPr>
          <w:color w:val="auto"/>
        </w:rPr>
        <w:t>O poskytnutí dotace rozhoduje (na základě pověření ministra vnitra) ředitel odboru bezpečnostní politiky a prevence kriminality Ministerstva vnitra, který v případě kladného posouzení návrhu vydá Rozhodnutí o poskytnutí neinvestiční dotace ze státního rozpočtu ČR (dále jen „Rozhodnutí“). Toto Rozhodnutí obsahuje číslo jednací, označení příjemce dotace, výši dotace, účel, na který je dotace poskytována, podmínky jejího použití, podpis statutárního zástupce Ministerstva vnitra a další náležitosti stanovené zákonem č. 218/2000 Sb., o rozpočtových pravidlech a o změně některých souvisejících zákonů (rozpočtová pravidla), ve znění pozdějších předpisů.</w:t>
      </w:r>
    </w:p>
    <w:p w:rsidR="00FD7D1B" w:rsidRPr="002B1BC3" w:rsidRDefault="00FD7D1B" w:rsidP="002B1BC3">
      <w:pPr>
        <w:pStyle w:val="Zkladntextodsazen"/>
        <w:numPr>
          <w:ilvl w:val="0"/>
          <w:numId w:val="31"/>
        </w:numPr>
        <w:spacing w:after="120" w:line="276" w:lineRule="auto"/>
        <w:ind w:left="426"/>
        <w:rPr>
          <w:color w:val="000000"/>
        </w:rPr>
      </w:pPr>
      <w:r>
        <w:rPr>
          <w:color w:val="auto"/>
        </w:rPr>
        <w:t xml:space="preserve">Informace o </w:t>
      </w:r>
      <w:r w:rsidR="008B2F58">
        <w:rPr>
          <w:color w:val="auto"/>
        </w:rPr>
        <w:t>jednání dotačního výboru</w:t>
      </w:r>
      <w:r w:rsidR="00624B2D">
        <w:rPr>
          <w:color w:val="auto"/>
        </w:rPr>
        <w:t xml:space="preserve"> a jeho návrh na přidělení dotací</w:t>
      </w:r>
      <w:r w:rsidR="00103656">
        <w:rPr>
          <w:color w:val="auto"/>
        </w:rPr>
        <w:t xml:space="preserve"> jednotlivým obcím</w:t>
      </w:r>
      <w:r w:rsidR="00624B2D">
        <w:rPr>
          <w:color w:val="auto"/>
        </w:rPr>
        <w:t xml:space="preserve"> budou </w:t>
      </w:r>
      <w:r w:rsidR="00103656">
        <w:rPr>
          <w:color w:val="auto"/>
        </w:rPr>
        <w:t>z</w:t>
      </w:r>
      <w:r w:rsidR="00624B2D">
        <w:rPr>
          <w:color w:val="auto"/>
        </w:rPr>
        <w:t>veřejňovány prostřednictvím webových stránek Ministerstva vnitra.</w:t>
      </w:r>
    </w:p>
    <w:p w:rsidR="00FD7D1B" w:rsidRDefault="00DF4C4D" w:rsidP="006065AA">
      <w:pPr>
        <w:spacing w:after="120" w:line="276" w:lineRule="auto"/>
        <w:jc w:val="both"/>
        <w:rPr>
          <w:rFonts w:ascii="Arial" w:hAnsi="Arial" w:cs="Arial"/>
          <w:color w:val="000000"/>
          <w:sz w:val="22"/>
          <w:szCs w:val="22"/>
        </w:rPr>
      </w:pPr>
      <w:r>
        <w:rPr>
          <w:rFonts w:ascii="Arial" w:hAnsi="Arial" w:cs="Arial"/>
          <w:color w:val="000000"/>
          <w:sz w:val="22"/>
          <w:szCs w:val="22"/>
        </w:rPr>
        <w:t xml:space="preserve">          </w:t>
      </w:r>
      <w:r w:rsidR="00624B2D">
        <w:rPr>
          <w:rFonts w:ascii="Arial" w:hAnsi="Arial" w:cs="Arial"/>
          <w:color w:val="000000"/>
          <w:sz w:val="22"/>
          <w:szCs w:val="22"/>
        </w:rPr>
        <w:t xml:space="preserve">(3) </w:t>
      </w:r>
      <w:r w:rsidR="00FD7D1B">
        <w:rPr>
          <w:rFonts w:ascii="Arial" w:hAnsi="Arial" w:cs="Arial"/>
          <w:color w:val="000000"/>
          <w:sz w:val="22"/>
          <w:szCs w:val="22"/>
        </w:rPr>
        <w:t>Odbor bezpečnostní politiky a prevence kriminality Ministerstva vnitra zašle originály vydaných Rozhodnutí jednotlivým příjemcům dotace. Kopie Rozhodnutí týkajících se projektů obcí zašle elektronicky příslušným krajským úřadům, které v souladu se zákonným ustanovením</w:t>
      </w:r>
      <w:r w:rsidR="00FD7D1B">
        <w:rPr>
          <w:rStyle w:val="Znakapoznpodarou"/>
          <w:rFonts w:ascii="Arial" w:hAnsi="Arial" w:cs="Arial"/>
          <w:color w:val="000000"/>
          <w:sz w:val="22"/>
          <w:szCs w:val="22"/>
        </w:rPr>
        <w:footnoteReference w:id="2"/>
      </w:r>
      <w:r w:rsidR="00FD7D1B">
        <w:rPr>
          <w:rFonts w:ascii="Arial" w:hAnsi="Arial" w:cs="Arial"/>
          <w:color w:val="000000"/>
          <w:sz w:val="22"/>
          <w:szCs w:val="22"/>
        </w:rPr>
        <w:t xml:space="preserve"> a vydaným Rozhodnutím převedou příjemcům finanční prostředky poskytnuté Ministerstvem vnitra.</w:t>
      </w:r>
      <w:r w:rsidR="00624B2D">
        <w:rPr>
          <w:rFonts w:ascii="Arial" w:hAnsi="Arial" w:cs="Arial"/>
          <w:color w:val="000000"/>
          <w:sz w:val="22"/>
          <w:szCs w:val="22"/>
        </w:rPr>
        <w:t xml:space="preserve"> Neú</w:t>
      </w:r>
      <w:r w:rsidR="00103656">
        <w:rPr>
          <w:rFonts w:ascii="Arial" w:hAnsi="Arial" w:cs="Arial"/>
          <w:color w:val="000000"/>
          <w:sz w:val="22"/>
          <w:szCs w:val="22"/>
        </w:rPr>
        <w:t>spěšné žadatele o dotaci vyrozumí</w:t>
      </w:r>
      <w:r w:rsidR="00624B2D">
        <w:rPr>
          <w:rFonts w:ascii="Arial" w:hAnsi="Arial" w:cs="Arial"/>
          <w:color w:val="000000"/>
          <w:sz w:val="22"/>
          <w:szCs w:val="22"/>
        </w:rPr>
        <w:t xml:space="preserve"> ředitel odboru</w:t>
      </w:r>
      <w:r w:rsidR="00103656">
        <w:rPr>
          <w:rFonts w:ascii="Arial" w:hAnsi="Arial" w:cs="Arial"/>
          <w:color w:val="000000"/>
          <w:sz w:val="22"/>
          <w:szCs w:val="22"/>
        </w:rPr>
        <w:t xml:space="preserve"> dopisem.</w:t>
      </w:r>
    </w:p>
    <w:p w:rsidR="00FD7D1B" w:rsidRDefault="00FD7D1B" w:rsidP="00DB4E08">
      <w:pPr>
        <w:spacing w:line="276" w:lineRule="auto"/>
        <w:rPr>
          <w:rFonts w:ascii="Arial" w:hAnsi="Arial" w:cs="Arial"/>
        </w:rPr>
      </w:pPr>
    </w:p>
    <w:p w:rsidR="00FD7D1B" w:rsidRDefault="00FD7D1B" w:rsidP="006065AA">
      <w:pPr>
        <w:spacing w:line="276" w:lineRule="auto"/>
        <w:rPr>
          <w:rFonts w:ascii="Arial" w:hAnsi="Arial" w:cs="Arial"/>
        </w:rPr>
      </w:pP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Čl. 6</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Evidence a vyúčtování poskytnutých dotací</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Čerpání dotací evidují příjemci dotace v účetnictví odděleně v souladu s platnými právními předpisy</w:t>
      </w:r>
      <w:r>
        <w:rPr>
          <w:rFonts w:ascii="Arial" w:hAnsi="Arial" w:cs="Arial"/>
          <w:color w:val="000000"/>
          <w:sz w:val="22"/>
          <w:szCs w:val="22"/>
          <w:vertAlign w:val="superscript"/>
        </w:rPr>
        <w:footnoteReference w:id="3"/>
      </w:r>
      <w:r>
        <w:rPr>
          <w:rFonts w:ascii="Arial" w:hAnsi="Arial" w:cs="Arial"/>
          <w:color w:val="000000"/>
          <w:sz w:val="22"/>
          <w:szCs w:val="22"/>
        </w:rPr>
        <w:t xml:space="preserve">. Doklady prokazující využití státní dotace musí být viditelně označeny číslem Rozhodnutí, ke kterému se dotace vztahuje. </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 xml:space="preserve">Z dotace lze hradit pouze náklady, které Ministerstvo vnitra uvede v Rozhodnutí a které prokazatelně vznikly od 1. ledna do 31. prosince </w:t>
      </w:r>
      <w:r w:rsidR="00752FD4">
        <w:rPr>
          <w:rFonts w:ascii="Arial" w:hAnsi="Arial" w:cs="Arial"/>
          <w:color w:val="000000"/>
          <w:sz w:val="22"/>
          <w:szCs w:val="22"/>
        </w:rPr>
        <w:t xml:space="preserve">roku </w:t>
      </w:r>
      <w:r w:rsidR="004D43C6">
        <w:rPr>
          <w:rFonts w:ascii="Arial" w:hAnsi="Arial" w:cs="Arial"/>
          <w:color w:val="000000"/>
          <w:sz w:val="22"/>
          <w:szCs w:val="22"/>
        </w:rPr>
        <w:t>2017</w:t>
      </w:r>
      <w:r>
        <w:rPr>
          <w:rFonts w:ascii="Arial" w:hAnsi="Arial" w:cs="Arial"/>
          <w:color w:val="000000"/>
          <w:sz w:val="22"/>
          <w:szCs w:val="22"/>
        </w:rPr>
        <w:t xml:space="preserve">, na který byla přiznána dotace. </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 xml:space="preserve">Příjemce dotace podle § 47 odst. 2 zákona č. 218/2000 Sb., o rozpočtových pravidlech a o změně některých souvisejících zákonů (rozpočtová pravidla), ve znění pozdějších předpisů, a v souvislosti s tvorbou nároků z nespotřebovaných výdajů prověří stav rozpracovanosti projektu, a to </w:t>
      </w:r>
      <w:r w:rsidRPr="003810D7">
        <w:rPr>
          <w:rFonts w:ascii="Arial" w:hAnsi="Arial" w:cs="Arial"/>
          <w:b/>
          <w:color w:val="000000"/>
          <w:sz w:val="22"/>
          <w:szCs w:val="22"/>
        </w:rPr>
        <w:t xml:space="preserve">ke dni </w:t>
      </w:r>
      <w:r w:rsidR="003810D7" w:rsidRPr="003810D7">
        <w:rPr>
          <w:rFonts w:ascii="Arial" w:hAnsi="Arial" w:cs="Arial"/>
          <w:b/>
          <w:color w:val="000000"/>
          <w:sz w:val="22"/>
          <w:szCs w:val="22"/>
        </w:rPr>
        <w:t>1</w:t>
      </w:r>
      <w:r w:rsidRPr="003810D7">
        <w:rPr>
          <w:rFonts w:ascii="Arial" w:hAnsi="Arial" w:cs="Arial"/>
          <w:b/>
          <w:color w:val="000000"/>
          <w:sz w:val="22"/>
          <w:szCs w:val="22"/>
        </w:rPr>
        <w:t xml:space="preserve">3. listopadu </w:t>
      </w:r>
      <w:r w:rsidR="00752FD4">
        <w:rPr>
          <w:rFonts w:ascii="Arial" w:hAnsi="Arial" w:cs="Arial"/>
          <w:b/>
          <w:color w:val="000000"/>
          <w:sz w:val="22"/>
          <w:szCs w:val="22"/>
        </w:rPr>
        <w:t xml:space="preserve">roku </w:t>
      </w:r>
      <w:r w:rsidR="004D43C6">
        <w:rPr>
          <w:rFonts w:ascii="Arial" w:hAnsi="Arial" w:cs="Arial"/>
          <w:b/>
          <w:color w:val="000000"/>
          <w:sz w:val="22"/>
          <w:szCs w:val="22"/>
        </w:rPr>
        <w:t>2017</w:t>
      </w:r>
      <w:r>
        <w:rPr>
          <w:rFonts w:ascii="Arial" w:hAnsi="Arial" w:cs="Arial"/>
          <w:color w:val="000000"/>
          <w:sz w:val="22"/>
          <w:szCs w:val="22"/>
        </w:rPr>
        <w:t>, na který byla přiznána dotace. V případě zjištění, že projekt není realizován či poskytnuté prostředky na schválený projekt nebudou již využity, zajistí příjemce dotace vrácení nevyužitých prostředků v</w:t>
      </w:r>
      <w:r w:rsidR="00E53EB4">
        <w:rPr>
          <w:rFonts w:ascii="Arial" w:hAnsi="Arial" w:cs="Arial"/>
          <w:color w:val="000000"/>
          <w:sz w:val="22"/>
          <w:szCs w:val="22"/>
        </w:rPr>
        <w:t> </w:t>
      </w:r>
      <w:r>
        <w:rPr>
          <w:rFonts w:ascii="Arial" w:hAnsi="Arial" w:cs="Arial"/>
          <w:color w:val="000000"/>
          <w:sz w:val="22"/>
          <w:szCs w:val="22"/>
        </w:rPr>
        <w:t>term</w:t>
      </w:r>
      <w:r w:rsidR="00E53EB4">
        <w:rPr>
          <w:rFonts w:ascii="Arial" w:hAnsi="Arial" w:cs="Arial"/>
          <w:color w:val="000000"/>
          <w:sz w:val="22"/>
          <w:szCs w:val="22"/>
        </w:rPr>
        <w:t xml:space="preserve">ínu </w:t>
      </w:r>
      <w:r w:rsidRPr="006065AA">
        <w:rPr>
          <w:rFonts w:ascii="Arial" w:hAnsi="Arial" w:cs="Arial"/>
          <w:b/>
          <w:color w:val="000000"/>
          <w:sz w:val="22"/>
          <w:szCs w:val="22"/>
        </w:rPr>
        <w:t xml:space="preserve">do </w:t>
      </w:r>
      <w:r w:rsidR="007A7D73">
        <w:rPr>
          <w:rFonts w:ascii="Arial" w:hAnsi="Arial" w:cs="Arial"/>
          <w:b/>
          <w:color w:val="000000"/>
          <w:sz w:val="22"/>
          <w:szCs w:val="22"/>
        </w:rPr>
        <w:t>24</w:t>
      </w:r>
      <w:r w:rsidR="008A1067" w:rsidRPr="006065AA">
        <w:rPr>
          <w:rFonts w:ascii="Arial" w:hAnsi="Arial" w:cs="Arial"/>
          <w:b/>
          <w:color w:val="000000"/>
          <w:sz w:val="22"/>
          <w:szCs w:val="22"/>
        </w:rPr>
        <w:t xml:space="preserve">. </w:t>
      </w:r>
      <w:r w:rsidR="007A7D73">
        <w:rPr>
          <w:rFonts w:ascii="Arial" w:hAnsi="Arial" w:cs="Arial"/>
          <w:b/>
          <w:color w:val="000000"/>
          <w:sz w:val="22"/>
          <w:szCs w:val="22"/>
        </w:rPr>
        <w:t>listopadu</w:t>
      </w:r>
      <w:r w:rsidRPr="006065AA">
        <w:rPr>
          <w:rFonts w:ascii="Arial" w:hAnsi="Arial" w:cs="Arial"/>
          <w:b/>
          <w:color w:val="000000"/>
          <w:sz w:val="22"/>
          <w:szCs w:val="22"/>
        </w:rPr>
        <w:t xml:space="preserve"> </w:t>
      </w:r>
      <w:r w:rsidR="00752FD4">
        <w:rPr>
          <w:rFonts w:ascii="Arial" w:hAnsi="Arial" w:cs="Arial"/>
          <w:b/>
          <w:color w:val="000000"/>
          <w:sz w:val="22"/>
          <w:szCs w:val="22"/>
        </w:rPr>
        <w:t xml:space="preserve">roku </w:t>
      </w:r>
      <w:r w:rsidR="004D43C6">
        <w:rPr>
          <w:rFonts w:ascii="Arial" w:hAnsi="Arial" w:cs="Arial"/>
          <w:b/>
          <w:color w:val="000000"/>
          <w:sz w:val="22"/>
          <w:szCs w:val="22"/>
        </w:rPr>
        <w:t>2017</w:t>
      </w:r>
      <w:r>
        <w:rPr>
          <w:rFonts w:ascii="Arial" w:hAnsi="Arial" w:cs="Arial"/>
          <w:color w:val="000000"/>
          <w:sz w:val="22"/>
          <w:szCs w:val="22"/>
        </w:rPr>
        <w:t xml:space="preserve">, na který byla přiznána dotace, na účet kraje (v případě městských částí hlavního města Prahy na účet hlavního města Prahy) spolu s písemným avízem, které bude obsahovat údaje k identifikaci platby (IČO obce, číslo Rozhodnutí, výši platby, popř. další údaje). Kraj (popř. hlavní město Praha) tyto prostředky převede v termínu </w:t>
      </w:r>
      <w:r w:rsidR="009C35AD">
        <w:rPr>
          <w:rFonts w:ascii="Arial" w:hAnsi="Arial" w:cs="Arial"/>
          <w:color w:val="000000"/>
          <w:sz w:val="22"/>
          <w:szCs w:val="22"/>
        </w:rPr>
        <w:br/>
      </w:r>
      <w:r w:rsidRPr="006065AA">
        <w:rPr>
          <w:rFonts w:ascii="Arial" w:hAnsi="Arial" w:cs="Arial"/>
          <w:b/>
          <w:color w:val="000000"/>
          <w:sz w:val="22"/>
          <w:szCs w:val="22"/>
        </w:rPr>
        <w:t>do</w:t>
      </w:r>
      <w:r>
        <w:rPr>
          <w:rFonts w:ascii="Arial" w:hAnsi="Arial" w:cs="Arial"/>
          <w:color w:val="000000"/>
          <w:sz w:val="22"/>
          <w:szCs w:val="22"/>
        </w:rPr>
        <w:t> </w:t>
      </w:r>
      <w:r w:rsidR="008A1067" w:rsidRPr="006065AA">
        <w:rPr>
          <w:rFonts w:ascii="Arial" w:hAnsi="Arial" w:cs="Arial"/>
          <w:b/>
          <w:color w:val="000000"/>
          <w:sz w:val="22"/>
          <w:szCs w:val="22"/>
        </w:rPr>
        <w:t xml:space="preserve">1. </w:t>
      </w:r>
      <w:r w:rsidRPr="006065AA">
        <w:rPr>
          <w:rFonts w:ascii="Arial" w:hAnsi="Arial" w:cs="Arial"/>
          <w:b/>
          <w:color w:val="000000"/>
          <w:sz w:val="22"/>
          <w:szCs w:val="22"/>
        </w:rPr>
        <w:t xml:space="preserve">prosince </w:t>
      </w:r>
      <w:r w:rsidR="00752FD4">
        <w:rPr>
          <w:rFonts w:ascii="Arial" w:hAnsi="Arial" w:cs="Arial"/>
          <w:b/>
          <w:color w:val="000000"/>
          <w:sz w:val="22"/>
          <w:szCs w:val="22"/>
        </w:rPr>
        <w:t xml:space="preserve">roku </w:t>
      </w:r>
      <w:r w:rsidR="004D43C6">
        <w:rPr>
          <w:rFonts w:ascii="Arial" w:hAnsi="Arial" w:cs="Arial"/>
          <w:b/>
          <w:color w:val="000000"/>
          <w:sz w:val="22"/>
          <w:szCs w:val="22"/>
        </w:rPr>
        <w:t>2017</w:t>
      </w:r>
      <w:r>
        <w:rPr>
          <w:rFonts w:ascii="Arial" w:hAnsi="Arial" w:cs="Arial"/>
          <w:color w:val="000000"/>
          <w:sz w:val="22"/>
          <w:szCs w:val="22"/>
        </w:rPr>
        <w:t>, na který byla přiznána dotace, na účet Ministerstva vnitra, uvedený v Rozhodnutí. Finanční prostředky budou tvořit nároky z nespotřebovaných výdajů v následujícím rozpočtovém, resp. kalendářním roce.</w:t>
      </w:r>
    </w:p>
    <w:p w:rsidR="008A1067" w:rsidRDefault="008A1067"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lastRenderedPageBreak/>
        <w:t>Případné nedočerpané prostředky dotace jsou předmětem finančního vypořádání a musí být v termínu vráceny do státního rozpočtu.</w:t>
      </w:r>
    </w:p>
    <w:p w:rsidR="00FD7D1B" w:rsidRPr="001D27DA" w:rsidRDefault="00AD179F" w:rsidP="009C35AD">
      <w:pPr>
        <w:pStyle w:val="Zkladntext21"/>
        <w:numPr>
          <w:ilvl w:val="0"/>
          <w:numId w:val="12"/>
        </w:numPr>
        <w:spacing w:before="60" w:after="60" w:line="276" w:lineRule="auto"/>
        <w:rPr>
          <w:rFonts w:cs="Arial"/>
          <w:color w:val="000000"/>
          <w:szCs w:val="22"/>
        </w:rPr>
      </w:pPr>
      <w:r>
        <w:rPr>
          <w:rFonts w:cs="Arial"/>
          <w:color w:val="000000"/>
          <w:szCs w:val="22"/>
        </w:rPr>
        <w:t>Pří</w:t>
      </w:r>
      <w:r w:rsidR="00300B42">
        <w:rPr>
          <w:rFonts w:cs="Arial"/>
          <w:color w:val="000000"/>
          <w:szCs w:val="22"/>
        </w:rPr>
        <w:t>jemce dotace</w:t>
      </w:r>
      <w:r w:rsidR="00993F20">
        <w:rPr>
          <w:rFonts w:cs="Arial"/>
          <w:color w:val="000000"/>
          <w:szCs w:val="22"/>
        </w:rPr>
        <w:t xml:space="preserve"> je povinen</w:t>
      </w:r>
      <w:r w:rsidR="000C300E">
        <w:rPr>
          <w:rFonts w:cs="Arial"/>
          <w:color w:val="000000"/>
          <w:szCs w:val="22"/>
        </w:rPr>
        <w:t xml:space="preserve"> </w:t>
      </w:r>
      <w:r>
        <w:rPr>
          <w:rFonts w:cs="Arial"/>
          <w:color w:val="000000"/>
          <w:szCs w:val="22"/>
        </w:rPr>
        <w:t>s poskytovatelem vypořádat dotaci v rámci finančního vypořádání. Vypořádání poskytnutých dotací se státním rozpočtem za příslušný kalendářní rok bude provedeno v rámci vypořádání vztahů územních rozpočtů se státním rozpočtem podle vyhlášky č. 367/2015 Sb. Kraje (hlavní město Praha) postupují podle § 9 vyhlášky</w:t>
      </w:r>
      <w:r w:rsidR="00CE0CBC">
        <w:rPr>
          <w:rFonts w:cs="Arial"/>
          <w:color w:val="000000"/>
          <w:szCs w:val="22"/>
        </w:rPr>
        <w:t xml:space="preserve">, </w:t>
      </w:r>
      <w:r w:rsidR="00CE0CBC" w:rsidRPr="009C35AD">
        <w:rPr>
          <w:rFonts w:cs="Arial"/>
          <w:szCs w:val="22"/>
        </w:rPr>
        <w:t xml:space="preserve">informace o dotacích uvedou do přílohy č. 3A, k tomu zpracují vyhláškou požadovaný komentář a podklady zašlou odboru bezpečnostní politiky a prevence kriminality </w:t>
      </w:r>
      <w:r w:rsidR="009C35AD">
        <w:rPr>
          <w:rFonts w:cs="Arial"/>
          <w:szCs w:val="22"/>
        </w:rPr>
        <w:br/>
      </w:r>
      <w:r w:rsidR="00CE0CBC" w:rsidRPr="009C35AD">
        <w:rPr>
          <w:rFonts w:cs="Arial"/>
          <w:b/>
          <w:szCs w:val="22"/>
        </w:rPr>
        <w:t xml:space="preserve">do 15. února </w:t>
      </w:r>
      <w:r w:rsidR="004D43C6">
        <w:rPr>
          <w:rFonts w:cs="Arial"/>
          <w:b/>
          <w:szCs w:val="22"/>
        </w:rPr>
        <w:t>2018</w:t>
      </w:r>
      <w:r w:rsidR="00E53077">
        <w:rPr>
          <w:rFonts w:cs="Arial"/>
          <w:b/>
          <w:szCs w:val="22"/>
        </w:rPr>
        <w:t>.</w:t>
      </w:r>
      <w:r w:rsidR="00CE0CBC" w:rsidRPr="009C35AD">
        <w:rPr>
          <w:rFonts w:cs="Arial"/>
          <w:b/>
          <w:szCs w:val="22"/>
        </w:rPr>
        <w:t xml:space="preserve"> </w:t>
      </w:r>
      <w:r w:rsidR="00CE0CBC" w:rsidRPr="009C35AD">
        <w:rPr>
          <w:rFonts w:cs="Arial"/>
          <w:szCs w:val="22"/>
        </w:rPr>
        <w:t xml:space="preserve">Obce (městské části hlavního města Prahy) postupují podle § 12 vyhlášky, informace o dotacích vkládají do přílohy č. 7A, přílohu s komentářem předkládají kraji (hlavnímu městu Praha) v termínu </w:t>
      </w:r>
      <w:r w:rsidR="00CE0CBC" w:rsidRPr="009C35AD">
        <w:rPr>
          <w:rFonts w:cs="Arial"/>
          <w:b/>
          <w:szCs w:val="22"/>
        </w:rPr>
        <w:t xml:space="preserve">do 5. února </w:t>
      </w:r>
      <w:r w:rsidR="004D43C6">
        <w:rPr>
          <w:rFonts w:cs="Arial"/>
          <w:b/>
          <w:szCs w:val="22"/>
        </w:rPr>
        <w:t>2018</w:t>
      </w:r>
      <w:r w:rsidR="00CE0CBC" w:rsidRPr="009C35AD">
        <w:rPr>
          <w:rFonts w:cs="Arial"/>
          <w:szCs w:val="22"/>
        </w:rPr>
        <w:t xml:space="preserve"> společně s odvodem nedočerpaných finančních prostředků na účet kraje (hlavního města Prahy). Kraj (hlavní město Praha) provede kontrolu předložených podkladů podle § 13 vyhlášky, při zjištění nedostatků zajistí nápravu, vypracuje souhrnnou informaci do přílohy č. 8A a s komentářem ji předloží poskytovateli </w:t>
      </w:r>
      <w:r w:rsidR="00CE0CBC" w:rsidRPr="009C35AD">
        <w:rPr>
          <w:rFonts w:cs="Arial"/>
          <w:b/>
          <w:szCs w:val="22"/>
        </w:rPr>
        <w:t xml:space="preserve">do 25. </w:t>
      </w:r>
      <w:r w:rsidR="004D43C6">
        <w:rPr>
          <w:rFonts w:cs="Arial"/>
          <w:b/>
          <w:szCs w:val="22"/>
        </w:rPr>
        <w:t>ún</w:t>
      </w:r>
      <w:r w:rsidR="00CE0CBC" w:rsidRPr="009C35AD">
        <w:rPr>
          <w:rFonts w:cs="Arial"/>
          <w:b/>
          <w:szCs w:val="22"/>
        </w:rPr>
        <w:t>ora</w:t>
      </w:r>
      <w:r w:rsidR="004D43C6">
        <w:rPr>
          <w:rFonts w:cs="Arial"/>
          <w:b/>
          <w:szCs w:val="22"/>
        </w:rPr>
        <w:t xml:space="preserve"> 2018</w:t>
      </w:r>
      <w:r w:rsidR="00CE0CBC" w:rsidRPr="009C35AD">
        <w:rPr>
          <w:rFonts w:cs="Arial"/>
          <w:szCs w:val="22"/>
        </w:rPr>
        <w:t xml:space="preserve">. Celkovou výši prostředků přijatou za jednotlivé příjemce převede ze svého účtu na účet cizích prostředků 6015–3605881/0710. </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 xml:space="preserve">Příjemce dotace je povinen prostřednictvím datové schránky oznámit odboru bezpečnostní politiky a prevence kriminality Ministerstva vnitra veškeré změny týkající se skutečností majících vliv na realizaci projektu, včetně změn základních údajů o sobě (např. adresa, číslo bankovního účtu, IČ, jméno a adresa osoby oprávněné jednat jménem příjemce dotace, telefonní a jiné spojení apod.), a to do 14 dnů plynoucích ode dne, kdy se o změnách dozvěděl. </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 xml:space="preserve">Příjemce dotace je povinen zaslat odboru bezpečnostní politiky a prevence kriminality Ministerstva vnitra v termínu </w:t>
      </w:r>
      <w:r w:rsidRPr="00D01672">
        <w:rPr>
          <w:rFonts w:ascii="Arial" w:hAnsi="Arial" w:cs="Arial"/>
          <w:b/>
          <w:color w:val="000000"/>
          <w:sz w:val="22"/>
          <w:szCs w:val="22"/>
        </w:rPr>
        <w:t xml:space="preserve">do </w:t>
      </w:r>
      <w:r w:rsidR="001D27DA" w:rsidRPr="00D01672">
        <w:rPr>
          <w:rFonts w:ascii="Arial" w:hAnsi="Arial" w:cs="Arial"/>
          <w:b/>
          <w:color w:val="000000"/>
          <w:sz w:val="22"/>
          <w:szCs w:val="22"/>
        </w:rPr>
        <w:t>31</w:t>
      </w:r>
      <w:r w:rsidRPr="00D01672">
        <w:rPr>
          <w:rFonts w:ascii="Arial" w:hAnsi="Arial" w:cs="Arial"/>
          <w:b/>
          <w:color w:val="000000"/>
          <w:sz w:val="22"/>
          <w:szCs w:val="22"/>
        </w:rPr>
        <w:t xml:space="preserve">. července </w:t>
      </w:r>
      <w:r w:rsidR="00752FD4" w:rsidRPr="00D01672">
        <w:rPr>
          <w:rFonts w:ascii="Arial" w:hAnsi="Arial" w:cs="Arial"/>
          <w:b/>
          <w:color w:val="000000"/>
          <w:sz w:val="22"/>
          <w:szCs w:val="22"/>
        </w:rPr>
        <w:t>2017</w:t>
      </w:r>
      <w:r>
        <w:rPr>
          <w:rFonts w:ascii="Arial" w:hAnsi="Arial" w:cs="Arial"/>
          <w:color w:val="000000"/>
          <w:sz w:val="22"/>
          <w:szCs w:val="22"/>
        </w:rPr>
        <w:t xml:space="preserve">, na který byla přiznána dotace, průběžnou zprávu o aktuálním stavu realizace svého projektu, a to v elektronické podobě prostřednictvím datové schránky a v kopii ve formátu Word na e-mailovou adresu: </w:t>
      </w:r>
      <w:hyperlink r:id="rId9" w:history="1">
        <w:r w:rsidR="006E22EC" w:rsidRPr="00650374">
          <w:rPr>
            <w:rStyle w:val="Hypertextovodkaz"/>
            <w:rFonts w:ascii="Arial" w:hAnsi="Arial" w:cs="Arial"/>
            <w:sz w:val="22"/>
            <w:szCs w:val="22"/>
          </w:rPr>
          <w:t>tatjana.elznicova@mvcr.cz</w:t>
        </w:r>
      </w:hyperlink>
      <w:r>
        <w:rPr>
          <w:rFonts w:ascii="Arial" w:hAnsi="Arial" w:cs="Arial"/>
          <w:color w:val="000000"/>
          <w:sz w:val="22"/>
          <w:szCs w:val="22"/>
        </w:rPr>
        <w:t>. Součástí zprávy musí být zejména informace o počtu bezpečnostních dobrovolníků, kteří v rámci projektu působí, náplni jejich činnosti a informace, zda je naplňován cíl projektu, popř. z jakého důvodu naplňován není.</w:t>
      </w:r>
    </w:p>
    <w:p w:rsidR="00FD7D1B" w:rsidRDefault="00FD7D1B" w:rsidP="00FD7D1B">
      <w:pPr>
        <w:numPr>
          <w:ilvl w:val="0"/>
          <w:numId w:val="32"/>
        </w:numPr>
        <w:spacing w:after="120" w:line="276" w:lineRule="auto"/>
        <w:jc w:val="both"/>
        <w:rPr>
          <w:rFonts w:ascii="Arial" w:hAnsi="Arial" w:cs="Arial"/>
          <w:color w:val="000000"/>
          <w:sz w:val="22"/>
          <w:szCs w:val="22"/>
        </w:rPr>
      </w:pPr>
      <w:r>
        <w:rPr>
          <w:rFonts w:ascii="Arial" w:hAnsi="Arial" w:cs="Arial"/>
          <w:color w:val="000000"/>
          <w:sz w:val="22"/>
          <w:szCs w:val="22"/>
        </w:rPr>
        <w:t xml:space="preserve">Příjemce dotace je povinen zaslat odboru bezpečnostní politiky a prevence kriminality Ministerstva vnitra v termínu </w:t>
      </w:r>
      <w:r w:rsidRPr="00D01672">
        <w:rPr>
          <w:rFonts w:ascii="Arial" w:hAnsi="Arial" w:cs="Arial"/>
          <w:b/>
          <w:color w:val="000000"/>
          <w:sz w:val="22"/>
          <w:szCs w:val="22"/>
        </w:rPr>
        <w:t xml:space="preserve">do 31. </w:t>
      </w:r>
      <w:r w:rsidR="00103656" w:rsidRPr="00D01672">
        <w:rPr>
          <w:rFonts w:ascii="Arial" w:hAnsi="Arial" w:cs="Arial"/>
          <w:b/>
          <w:color w:val="000000"/>
          <w:sz w:val="22"/>
          <w:szCs w:val="22"/>
        </w:rPr>
        <w:t xml:space="preserve">ledna </w:t>
      </w:r>
      <w:r w:rsidR="00752FD4" w:rsidRPr="00D01672">
        <w:rPr>
          <w:rFonts w:ascii="Arial" w:hAnsi="Arial" w:cs="Arial"/>
          <w:b/>
          <w:color w:val="000000"/>
          <w:sz w:val="22"/>
          <w:szCs w:val="22"/>
        </w:rPr>
        <w:t>2018</w:t>
      </w:r>
      <w:r w:rsidR="00103656">
        <w:rPr>
          <w:rFonts w:ascii="Arial" w:hAnsi="Arial" w:cs="Arial"/>
          <w:color w:val="000000"/>
          <w:sz w:val="22"/>
          <w:szCs w:val="22"/>
        </w:rPr>
        <w:t xml:space="preserve"> </w:t>
      </w:r>
      <w:r>
        <w:rPr>
          <w:rFonts w:ascii="Arial" w:hAnsi="Arial" w:cs="Arial"/>
          <w:color w:val="000000"/>
          <w:sz w:val="22"/>
          <w:szCs w:val="22"/>
        </w:rPr>
        <w:t xml:space="preserve">souhrnnou zprávu o průběhu a vyhodnocení realizace projektu v roce, na který byla přiznána dotace, a to v elektronické podobě prostřednictvím datové schránky a v kopii ve formátu Word na e-mailovou adresu: </w:t>
      </w:r>
      <w:hyperlink r:id="rId10" w:history="1">
        <w:r w:rsidR="006E22EC" w:rsidRPr="00650374">
          <w:rPr>
            <w:rStyle w:val="Hypertextovodkaz"/>
            <w:rFonts w:ascii="Arial" w:hAnsi="Arial" w:cs="Arial"/>
            <w:sz w:val="22"/>
            <w:szCs w:val="22"/>
          </w:rPr>
          <w:t>tatjana.elznicova@mvcr.cz</w:t>
        </w:r>
      </w:hyperlink>
      <w:r>
        <w:rPr>
          <w:rFonts w:ascii="Arial" w:hAnsi="Arial" w:cs="Arial"/>
          <w:color w:val="000000"/>
          <w:sz w:val="22"/>
          <w:szCs w:val="22"/>
        </w:rPr>
        <w:t>. Součástí zprávy musí být zejména informace o počtu bezpečnostních dobrovolníků, kteří v rámci projektu působili, náplni jejich činnosti a informace, zda byl naplněn cíl projektu, popř. z jakého důvodu naplněn nebyl.</w:t>
      </w:r>
    </w:p>
    <w:p w:rsidR="00FD7D1B" w:rsidRDefault="00FD7D1B" w:rsidP="009C35AD">
      <w:pPr>
        <w:spacing w:line="276" w:lineRule="auto"/>
        <w:rPr>
          <w:rFonts w:ascii="Arial" w:hAnsi="Arial" w:cs="Arial"/>
          <w:b/>
        </w:rPr>
      </w:pP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Čl. 7</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Změna účelu a rozpočtu dotace</w:t>
      </w:r>
    </w:p>
    <w:p w:rsidR="00FD7D1B" w:rsidRDefault="00FD7D1B" w:rsidP="00FD7D1B">
      <w:pPr>
        <w:numPr>
          <w:ilvl w:val="0"/>
          <w:numId w:val="33"/>
        </w:numPr>
        <w:spacing w:after="120" w:line="276" w:lineRule="auto"/>
        <w:jc w:val="both"/>
        <w:rPr>
          <w:rFonts w:ascii="Arial" w:hAnsi="Arial" w:cs="Arial"/>
          <w:color w:val="000000"/>
          <w:sz w:val="22"/>
          <w:szCs w:val="22"/>
        </w:rPr>
      </w:pPr>
      <w:r>
        <w:rPr>
          <w:rFonts w:ascii="Arial" w:hAnsi="Arial" w:cs="Arial"/>
          <w:color w:val="000000"/>
          <w:sz w:val="22"/>
          <w:szCs w:val="22"/>
        </w:rPr>
        <w:t>Změna účelu dotace není možná.</w:t>
      </w:r>
    </w:p>
    <w:p w:rsidR="00FD7D1B" w:rsidRDefault="00FD7D1B" w:rsidP="00FD7D1B">
      <w:pPr>
        <w:numPr>
          <w:ilvl w:val="0"/>
          <w:numId w:val="33"/>
        </w:numPr>
        <w:spacing w:after="120" w:line="276" w:lineRule="auto"/>
        <w:jc w:val="both"/>
        <w:rPr>
          <w:rFonts w:ascii="Arial" w:hAnsi="Arial" w:cs="Arial"/>
          <w:color w:val="000000"/>
          <w:sz w:val="22"/>
          <w:szCs w:val="22"/>
        </w:rPr>
      </w:pPr>
      <w:r>
        <w:rPr>
          <w:rFonts w:ascii="Arial" w:hAnsi="Arial" w:cs="Arial"/>
          <w:color w:val="000000"/>
          <w:sz w:val="22"/>
          <w:szCs w:val="22"/>
        </w:rPr>
        <w:t xml:space="preserve">Změny mezi jednotlivými položkami rozpočtu poskytnuté dotace stanoveného ve vydaném Rozhodnutí je možno realizovat výhradně na základě nově vydaného Rozhodnutí. Z tohoto důvodu bude změna rozpočtu povolována pouze ve výjimečných případech na základě podrobně odůvodněné žádosti. Žádost o změnu rozpočtu musí být podána </w:t>
      </w:r>
      <w:r>
        <w:rPr>
          <w:rFonts w:ascii="Arial" w:hAnsi="Arial" w:cs="Arial"/>
          <w:sz w:val="22"/>
          <w:szCs w:val="22"/>
        </w:rPr>
        <w:t xml:space="preserve">odboru bezpečnostní politiky a prevence kriminality Ministerstva vnitra </w:t>
      </w:r>
      <w:r>
        <w:rPr>
          <w:rFonts w:ascii="Arial" w:hAnsi="Arial" w:cs="Arial"/>
          <w:sz w:val="22"/>
          <w:szCs w:val="22"/>
        </w:rPr>
        <w:lastRenderedPageBreak/>
        <w:t xml:space="preserve">prostřednictvím datové schránky </w:t>
      </w:r>
      <w:r w:rsidRPr="006065AA">
        <w:rPr>
          <w:rFonts w:ascii="Arial" w:hAnsi="Arial" w:cs="Arial"/>
          <w:b/>
          <w:sz w:val="22"/>
          <w:szCs w:val="22"/>
        </w:rPr>
        <w:t>nejpozději do 3</w:t>
      </w:r>
      <w:r w:rsidR="007D5D18">
        <w:rPr>
          <w:rFonts w:ascii="Arial" w:hAnsi="Arial" w:cs="Arial"/>
          <w:b/>
          <w:sz w:val="22"/>
          <w:szCs w:val="22"/>
        </w:rPr>
        <w:t>1</w:t>
      </w:r>
      <w:r w:rsidRPr="006065AA">
        <w:rPr>
          <w:rFonts w:ascii="Arial" w:hAnsi="Arial" w:cs="Arial"/>
          <w:b/>
          <w:sz w:val="22"/>
          <w:szCs w:val="22"/>
        </w:rPr>
        <w:t xml:space="preserve">. </w:t>
      </w:r>
      <w:r w:rsidR="00103656">
        <w:rPr>
          <w:rFonts w:ascii="Arial" w:hAnsi="Arial" w:cs="Arial"/>
          <w:b/>
          <w:sz w:val="22"/>
          <w:szCs w:val="22"/>
        </w:rPr>
        <w:t>ř</w:t>
      </w:r>
      <w:r w:rsidR="00103656" w:rsidRPr="006065AA">
        <w:rPr>
          <w:rFonts w:ascii="Arial" w:hAnsi="Arial" w:cs="Arial"/>
          <w:b/>
          <w:sz w:val="22"/>
          <w:szCs w:val="22"/>
        </w:rPr>
        <w:t>íjna</w:t>
      </w:r>
      <w:r w:rsidR="00103656">
        <w:rPr>
          <w:rFonts w:ascii="Arial" w:hAnsi="Arial" w:cs="Arial"/>
          <w:b/>
          <w:sz w:val="22"/>
          <w:szCs w:val="22"/>
        </w:rPr>
        <w:t xml:space="preserve"> </w:t>
      </w:r>
      <w:r w:rsidR="004D43C6">
        <w:rPr>
          <w:rFonts w:ascii="Arial" w:hAnsi="Arial" w:cs="Arial"/>
          <w:b/>
          <w:sz w:val="22"/>
          <w:szCs w:val="22"/>
        </w:rPr>
        <w:t>2017</w:t>
      </w:r>
      <w:r>
        <w:rPr>
          <w:rFonts w:ascii="Arial" w:hAnsi="Arial" w:cs="Arial"/>
          <w:sz w:val="22"/>
          <w:szCs w:val="22"/>
        </w:rPr>
        <w:t>, na který byla přiznána dotace.</w:t>
      </w:r>
    </w:p>
    <w:p w:rsidR="00FD7D1B" w:rsidRDefault="00FD7D1B" w:rsidP="00FD7D1B">
      <w:pPr>
        <w:spacing w:line="276" w:lineRule="auto"/>
        <w:jc w:val="center"/>
        <w:rPr>
          <w:rFonts w:ascii="Arial" w:hAnsi="Arial" w:cs="Arial"/>
          <w:b/>
        </w:rPr>
      </w:pP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Čl. 8</w:t>
      </w:r>
    </w:p>
    <w:p w:rsidR="00FD7D1B" w:rsidRDefault="00FD7D1B" w:rsidP="00FD7D1B">
      <w:pPr>
        <w:spacing w:after="120" w:line="276" w:lineRule="auto"/>
        <w:jc w:val="center"/>
        <w:rPr>
          <w:rFonts w:ascii="Arial" w:hAnsi="Arial" w:cs="Arial"/>
          <w:b/>
          <w:bCs/>
          <w:color w:val="000000"/>
          <w:sz w:val="22"/>
          <w:szCs w:val="22"/>
        </w:rPr>
      </w:pPr>
      <w:r>
        <w:rPr>
          <w:rFonts w:ascii="Arial" w:hAnsi="Arial" w:cs="Arial"/>
          <w:b/>
          <w:bCs/>
          <w:color w:val="000000"/>
          <w:sz w:val="22"/>
          <w:szCs w:val="22"/>
        </w:rPr>
        <w:t>Odpovědnost a kontrola hospodaření s prostředky dotace</w:t>
      </w:r>
    </w:p>
    <w:p w:rsidR="00FD7D1B" w:rsidRDefault="00FD7D1B" w:rsidP="00FD7D1B">
      <w:pPr>
        <w:numPr>
          <w:ilvl w:val="0"/>
          <w:numId w:val="34"/>
        </w:numPr>
        <w:spacing w:after="60" w:line="276" w:lineRule="auto"/>
        <w:jc w:val="both"/>
        <w:rPr>
          <w:rFonts w:ascii="Arial" w:hAnsi="Arial" w:cs="Arial"/>
          <w:color w:val="000000"/>
          <w:sz w:val="22"/>
          <w:szCs w:val="22"/>
        </w:rPr>
      </w:pPr>
      <w:r>
        <w:rPr>
          <w:rFonts w:ascii="Arial" w:hAnsi="Arial" w:cs="Arial"/>
          <w:color w:val="000000"/>
          <w:sz w:val="22"/>
          <w:szCs w:val="22"/>
        </w:rPr>
        <w:t>Příjemce dotace odpovídá</w:t>
      </w:r>
      <w:r w:rsidR="00E53077">
        <w:rPr>
          <w:rFonts w:ascii="Arial" w:hAnsi="Arial" w:cs="Arial"/>
          <w:color w:val="000000"/>
          <w:sz w:val="22"/>
          <w:szCs w:val="22"/>
        </w:rPr>
        <w:t xml:space="preserve"> </w:t>
      </w:r>
      <w:proofErr w:type="gramStart"/>
      <w:r>
        <w:rPr>
          <w:rFonts w:ascii="Arial" w:hAnsi="Arial" w:cs="Arial"/>
          <w:color w:val="000000"/>
          <w:sz w:val="22"/>
          <w:szCs w:val="22"/>
        </w:rPr>
        <w:t>za</w:t>
      </w:r>
      <w:proofErr w:type="gramEnd"/>
    </w:p>
    <w:p w:rsidR="00FD7D1B" w:rsidRDefault="00FD7D1B" w:rsidP="00FD7D1B">
      <w:pPr>
        <w:pStyle w:val="Zkladntextodsazen"/>
        <w:numPr>
          <w:ilvl w:val="0"/>
          <w:numId w:val="2"/>
        </w:numPr>
        <w:autoSpaceDE/>
        <w:spacing w:after="60" w:line="276" w:lineRule="auto"/>
        <w:rPr>
          <w:color w:val="auto"/>
        </w:rPr>
      </w:pPr>
      <w:r>
        <w:rPr>
          <w:color w:val="auto"/>
        </w:rPr>
        <w:t>dodržování podmínek stanovených obecně platnými právními předpisy,</w:t>
      </w:r>
    </w:p>
    <w:p w:rsidR="00FD7D1B" w:rsidRDefault="00FD7D1B" w:rsidP="00FD7D1B">
      <w:pPr>
        <w:pStyle w:val="Zkladntextodsazen"/>
        <w:numPr>
          <w:ilvl w:val="0"/>
          <w:numId w:val="2"/>
        </w:numPr>
        <w:autoSpaceDE/>
        <w:spacing w:after="60" w:line="276" w:lineRule="auto"/>
        <w:rPr>
          <w:color w:val="auto"/>
        </w:rPr>
      </w:pPr>
      <w:r>
        <w:rPr>
          <w:color w:val="auto"/>
        </w:rPr>
        <w:t>hospodárné, efektivní a účelné použití prostředků poskytnuté dotace,</w:t>
      </w:r>
    </w:p>
    <w:p w:rsidR="00FD7D1B" w:rsidRDefault="00FD7D1B" w:rsidP="00FD7D1B">
      <w:pPr>
        <w:pStyle w:val="Zkladntextodsazen"/>
        <w:numPr>
          <w:ilvl w:val="0"/>
          <w:numId w:val="2"/>
        </w:numPr>
        <w:autoSpaceDE/>
        <w:spacing w:after="60" w:line="276" w:lineRule="auto"/>
        <w:rPr>
          <w:color w:val="auto"/>
        </w:rPr>
      </w:pPr>
      <w:r>
        <w:rPr>
          <w:color w:val="auto"/>
        </w:rPr>
        <w:t>dodržení dalších podmínek obsažených v Rozhodnutí,</w:t>
      </w:r>
    </w:p>
    <w:p w:rsidR="00FD7D1B" w:rsidRDefault="00FD7D1B" w:rsidP="00FD7D1B">
      <w:pPr>
        <w:pStyle w:val="Zkladntextodsazen"/>
        <w:numPr>
          <w:ilvl w:val="0"/>
          <w:numId w:val="2"/>
        </w:numPr>
        <w:autoSpaceDE/>
        <w:spacing w:after="120" w:line="276" w:lineRule="auto"/>
        <w:ind w:left="357" w:hanging="357"/>
        <w:rPr>
          <w:color w:val="auto"/>
        </w:rPr>
      </w:pPr>
      <w:r>
        <w:rPr>
          <w:color w:val="auto"/>
        </w:rPr>
        <w:t>řádné vypořádání dotace.</w:t>
      </w:r>
    </w:p>
    <w:p w:rsidR="002137DE" w:rsidRPr="009C35AD" w:rsidRDefault="00DF4C4D" w:rsidP="002137DE">
      <w:pPr>
        <w:tabs>
          <w:tab w:val="left" w:pos="360"/>
        </w:tabs>
        <w:spacing w:before="60" w:after="60"/>
        <w:jc w:val="both"/>
        <w:rPr>
          <w:rFonts w:ascii="Arial" w:hAnsi="Arial" w:cs="Arial"/>
          <w:sz w:val="22"/>
          <w:szCs w:val="22"/>
        </w:rPr>
      </w:pPr>
      <w:r>
        <w:rPr>
          <w:rFonts w:ascii="Arial" w:hAnsi="Arial" w:cs="Arial"/>
          <w:color w:val="000000"/>
          <w:sz w:val="22"/>
          <w:szCs w:val="22"/>
        </w:rPr>
        <w:t xml:space="preserve">          </w:t>
      </w:r>
      <w:r w:rsidR="002137DE">
        <w:rPr>
          <w:rFonts w:ascii="Arial" w:hAnsi="Arial" w:cs="Arial"/>
          <w:color w:val="000000"/>
          <w:sz w:val="22"/>
          <w:szCs w:val="22"/>
        </w:rPr>
        <w:t xml:space="preserve">(2) </w:t>
      </w:r>
      <w:r w:rsidR="002137DE" w:rsidRPr="009C35AD">
        <w:rPr>
          <w:rFonts w:ascii="Arial" w:hAnsi="Arial" w:cs="Arial"/>
          <w:sz w:val="22"/>
          <w:szCs w:val="22"/>
        </w:rPr>
        <w:t>Odbor bezpečnostní politiky a prevence kriminality MV odpovídá</w:t>
      </w:r>
      <w:r w:rsidR="00E53077">
        <w:rPr>
          <w:rFonts w:ascii="Arial" w:hAnsi="Arial" w:cs="Arial"/>
          <w:sz w:val="22"/>
          <w:szCs w:val="22"/>
        </w:rPr>
        <w:t xml:space="preserve"> </w:t>
      </w:r>
      <w:proofErr w:type="gramStart"/>
      <w:r w:rsidR="002137DE" w:rsidRPr="009C35AD">
        <w:rPr>
          <w:rFonts w:ascii="Arial" w:hAnsi="Arial" w:cs="Arial"/>
          <w:sz w:val="22"/>
          <w:szCs w:val="22"/>
        </w:rPr>
        <w:t>za</w:t>
      </w:r>
      <w:proofErr w:type="gramEnd"/>
    </w:p>
    <w:p w:rsidR="002137DE" w:rsidRPr="009C35AD" w:rsidRDefault="002137DE" w:rsidP="002137DE">
      <w:pPr>
        <w:numPr>
          <w:ilvl w:val="0"/>
          <w:numId w:val="48"/>
        </w:numPr>
        <w:autoSpaceDE/>
        <w:autoSpaceDN/>
        <w:spacing w:before="60" w:after="60"/>
        <w:ind w:left="142" w:hanging="142"/>
        <w:jc w:val="both"/>
        <w:rPr>
          <w:rFonts w:ascii="Arial" w:hAnsi="Arial" w:cs="Arial"/>
          <w:sz w:val="22"/>
          <w:szCs w:val="22"/>
        </w:rPr>
      </w:pPr>
      <w:r w:rsidRPr="009C35AD">
        <w:rPr>
          <w:rFonts w:ascii="Arial" w:hAnsi="Arial" w:cs="Arial"/>
          <w:sz w:val="22"/>
          <w:szCs w:val="22"/>
        </w:rPr>
        <w:t>výkon předběžné veřejnosprávní kontroly,</w:t>
      </w:r>
    </w:p>
    <w:p w:rsidR="00FD7D1B" w:rsidRPr="009C35AD" w:rsidRDefault="002137DE" w:rsidP="006065AA">
      <w:pPr>
        <w:autoSpaceDE/>
        <w:autoSpaceDN/>
        <w:spacing w:before="60" w:after="60" w:line="276" w:lineRule="auto"/>
        <w:jc w:val="both"/>
        <w:rPr>
          <w:rFonts w:ascii="Arial" w:hAnsi="Arial" w:cs="Arial"/>
          <w:sz w:val="22"/>
          <w:szCs w:val="22"/>
        </w:rPr>
      </w:pPr>
      <w:r w:rsidRPr="009C35AD">
        <w:rPr>
          <w:rFonts w:ascii="Arial" w:hAnsi="Arial" w:cs="Arial"/>
          <w:sz w:val="22"/>
          <w:szCs w:val="22"/>
        </w:rPr>
        <w:t xml:space="preserve">b) výkon průběžné veřejnosprávní kontroly zaměřené zejména na dodržení podmínek podle Rozhodnutí a na respektování zásad hospodárnosti, efektivnosti a účelnosti použití prostředků poskytnuté dotace. </w:t>
      </w:r>
    </w:p>
    <w:p w:rsidR="00FD7D1B" w:rsidRDefault="00DF4C4D" w:rsidP="006065AA">
      <w:pPr>
        <w:spacing w:after="60" w:line="276" w:lineRule="auto"/>
        <w:jc w:val="both"/>
        <w:rPr>
          <w:rFonts w:ascii="Arial" w:hAnsi="Arial" w:cs="Arial"/>
          <w:color w:val="000000"/>
          <w:sz w:val="22"/>
          <w:szCs w:val="22"/>
        </w:rPr>
      </w:pPr>
      <w:r>
        <w:rPr>
          <w:rFonts w:ascii="Arial" w:hAnsi="Arial" w:cs="Arial"/>
          <w:color w:val="000000"/>
          <w:sz w:val="22"/>
          <w:szCs w:val="22"/>
        </w:rPr>
        <w:t xml:space="preserve">          </w:t>
      </w:r>
      <w:r w:rsidR="002137DE">
        <w:rPr>
          <w:rFonts w:ascii="Arial" w:hAnsi="Arial" w:cs="Arial"/>
          <w:color w:val="000000"/>
          <w:sz w:val="22"/>
          <w:szCs w:val="22"/>
        </w:rPr>
        <w:t xml:space="preserve">(3) </w:t>
      </w:r>
      <w:r w:rsidR="00FD7D1B">
        <w:rPr>
          <w:rFonts w:ascii="Arial" w:hAnsi="Arial" w:cs="Arial"/>
          <w:color w:val="000000"/>
          <w:sz w:val="22"/>
          <w:szCs w:val="22"/>
        </w:rPr>
        <w:t>K výkonu následné veřejnosprávní kontroly způsobu použití prostředků poskytnuté dotace jsou oprávněny</w:t>
      </w:r>
      <w:r w:rsidR="00FD7D1B">
        <w:rPr>
          <w:rFonts w:ascii="Arial" w:hAnsi="Arial" w:cs="Arial"/>
          <w:sz w:val="22"/>
          <w:szCs w:val="22"/>
          <w:vertAlign w:val="superscript"/>
        </w:rPr>
        <w:footnoteReference w:id="4"/>
      </w:r>
    </w:p>
    <w:p w:rsidR="00FD7D1B" w:rsidRDefault="00F17BCB" w:rsidP="00FD7D1B">
      <w:pPr>
        <w:pStyle w:val="Zkladntextodsazen"/>
        <w:numPr>
          <w:ilvl w:val="0"/>
          <w:numId w:val="35"/>
        </w:numPr>
        <w:autoSpaceDE/>
        <w:spacing w:after="60" w:line="276" w:lineRule="auto"/>
        <w:rPr>
          <w:color w:val="auto"/>
        </w:rPr>
      </w:pPr>
      <w:r>
        <w:rPr>
          <w:color w:val="auto"/>
        </w:rPr>
        <w:t xml:space="preserve">územní finanční orgány a Nejvyšší kontrolní </w:t>
      </w:r>
      <w:r w:rsidR="00A94142">
        <w:rPr>
          <w:color w:val="auto"/>
        </w:rPr>
        <w:t xml:space="preserve">úřad, </w:t>
      </w:r>
    </w:p>
    <w:p w:rsidR="00FD7D1B" w:rsidRDefault="00FD7D1B" w:rsidP="00FD7D1B">
      <w:pPr>
        <w:pStyle w:val="Zkladntextodsazen"/>
        <w:numPr>
          <w:ilvl w:val="0"/>
          <w:numId w:val="35"/>
        </w:numPr>
        <w:autoSpaceDE/>
        <w:spacing w:after="60" w:line="276" w:lineRule="auto"/>
        <w:rPr>
          <w:color w:val="auto"/>
        </w:rPr>
      </w:pPr>
      <w:r>
        <w:rPr>
          <w:color w:val="000000"/>
        </w:rPr>
        <w:t xml:space="preserve">odbor </w:t>
      </w:r>
      <w:r w:rsidR="00A94142">
        <w:rPr>
          <w:color w:val="000000"/>
        </w:rPr>
        <w:t>interního auditu a kontroly Ministerstva vnitra</w:t>
      </w:r>
      <w:r>
        <w:rPr>
          <w:color w:val="000000"/>
        </w:rPr>
        <w:t>,</w:t>
      </w:r>
    </w:p>
    <w:p w:rsidR="00FD7D1B" w:rsidRDefault="00A94142" w:rsidP="00FD7D1B">
      <w:pPr>
        <w:pStyle w:val="Zkladntextodsazen"/>
        <w:numPr>
          <w:ilvl w:val="0"/>
          <w:numId w:val="35"/>
        </w:numPr>
        <w:autoSpaceDE/>
        <w:spacing w:after="120" w:line="276" w:lineRule="auto"/>
        <w:ind w:left="357" w:hanging="357"/>
        <w:rPr>
          <w:color w:val="auto"/>
        </w:rPr>
      </w:pPr>
      <w:r>
        <w:rPr>
          <w:color w:val="auto"/>
        </w:rPr>
        <w:t>odbor bezpečnostní politiky</w:t>
      </w:r>
      <w:r w:rsidR="002137DE">
        <w:rPr>
          <w:color w:val="auto"/>
        </w:rPr>
        <w:t xml:space="preserve"> a prevence kriminality Ministerstva vnitra</w:t>
      </w:r>
      <w:r w:rsidR="00FD7D1B">
        <w:rPr>
          <w:color w:val="auto"/>
        </w:rPr>
        <w:t>.</w:t>
      </w:r>
    </w:p>
    <w:p w:rsidR="00FD7D1B" w:rsidRDefault="00DF4C4D" w:rsidP="006065AA">
      <w:pPr>
        <w:spacing w:after="120" w:line="276" w:lineRule="auto"/>
        <w:jc w:val="both"/>
        <w:rPr>
          <w:rFonts w:ascii="Arial" w:hAnsi="Arial" w:cs="Arial"/>
          <w:color w:val="000000"/>
          <w:sz w:val="22"/>
          <w:szCs w:val="22"/>
        </w:rPr>
      </w:pPr>
      <w:r>
        <w:rPr>
          <w:rFonts w:ascii="Arial" w:hAnsi="Arial" w:cs="Arial"/>
          <w:color w:val="000000"/>
          <w:sz w:val="22"/>
          <w:szCs w:val="22"/>
        </w:rPr>
        <w:t xml:space="preserve">         </w:t>
      </w:r>
      <w:r w:rsidR="002137DE">
        <w:rPr>
          <w:rFonts w:ascii="Arial" w:hAnsi="Arial" w:cs="Arial"/>
          <w:color w:val="000000"/>
          <w:sz w:val="22"/>
          <w:szCs w:val="22"/>
        </w:rPr>
        <w:t>(4)</w:t>
      </w:r>
      <w:r w:rsidR="007D5D18">
        <w:rPr>
          <w:rFonts w:ascii="Arial" w:hAnsi="Arial" w:cs="Arial"/>
          <w:color w:val="000000"/>
          <w:sz w:val="22"/>
          <w:szCs w:val="22"/>
        </w:rPr>
        <w:t xml:space="preserve"> </w:t>
      </w:r>
      <w:r w:rsidR="00FD7D1B">
        <w:rPr>
          <w:rFonts w:ascii="Arial" w:hAnsi="Arial" w:cs="Arial"/>
          <w:color w:val="000000"/>
          <w:sz w:val="22"/>
          <w:szCs w:val="22"/>
        </w:rPr>
        <w:t>Při výkonu veřejnosprávní kontroly na místě se vztahy mezi kontrolními orgány a kontrolovanými osobami řídí zvláštními právními předpisy</w:t>
      </w:r>
      <w:r w:rsidR="00FD7D1B">
        <w:rPr>
          <w:rFonts w:ascii="Arial" w:hAnsi="Arial" w:cs="Arial"/>
          <w:sz w:val="22"/>
          <w:szCs w:val="22"/>
          <w:vertAlign w:val="superscript"/>
        </w:rPr>
        <w:footnoteReference w:id="5"/>
      </w:r>
      <w:r w:rsidR="00FD7D1B">
        <w:rPr>
          <w:rFonts w:ascii="Arial" w:hAnsi="Arial" w:cs="Arial"/>
          <w:color w:val="000000"/>
          <w:sz w:val="22"/>
          <w:szCs w:val="22"/>
        </w:rPr>
        <w:t>.</w:t>
      </w:r>
    </w:p>
    <w:p w:rsidR="006E22EC" w:rsidRDefault="006E22EC" w:rsidP="006E22EC">
      <w:pPr>
        <w:spacing w:after="120" w:line="276" w:lineRule="auto"/>
        <w:jc w:val="center"/>
        <w:rPr>
          <w:rFonts w:ascii="Arial" w:hAnsi="Arial" w:cs="Arial"/>
          <w:b/>
          <w:bCs/>
          <w:color w:val="000000"/>
          <w:sz w:val="22"/>
          <w:szCs w:val="22"/>
        </w:rPr>
      </w:pPr>
    </w:p>
    <w:p w:rsidR="006E22EC" w:rsidRDefault="006E22EC" w:rsidP="006E22EC">
      <w:pPr>
        <w:spacing w:after="120" w:line="276" w:lineRule="auto"/>
        <w:jc w:val="center"/>
        <w:rPr>
          <w:rFonts w:ascii="Arial" w:hAnsi="Arial" w:cs="Arial"/>
          <w:b/>
          <w:bCs/>
          <w:color w:val="000000"/>
          <w:sz w:val="22"/>
          <w:szCs w:val="22"/>
        </w:rPr>
      </w:pPr>
      <w:r>
        <w:rPr>
          <w:rFonts w:ascii="Arial" w:hAnsi="Arial" w:cs="Arial"/>
          <w:b/>
          <w:bCs/>
          <w:color w:val="000000"/>
          <w:sz w:val="22"/>
          <w:szCs w:val="22"/>
        </w:rPr>
        <w:t xml:space="preserve">Čl. 9 </w:t>
      </w:r>
    </w:p>
    <w:p w:rsidR="006E22EC" w:rsidRDefault="006E22EC" w:rsidP="006E22EC">
      <w:pPr>
        <w:spacing w:after="120" w:line="276" w:lineRule="auto"/>
        <w:jc w:val="center"/>
        <w:rPr>
          <w:rFonts w:ascii="Arial" w:hAnsi="Arial" w:cs="Arial"/>
          <w:b/>
          <w:bCs/>
          <w:color w:val="000000"/>
          <w:sz w:val="22"/>
          <w:szCs w:val="22"/>
        </w:rPr>
      </w:pPr>
      <w:r>
        <w:rPr>
          <w:rFonts w:ascii="Arial" w:hAnsi="Arial" w:cs="Arial"/>
          <w:b/>
          <w:bCs/>
          <w:color w:val="000000"/>
          <w:sz w:val="22"/>
          <w:szCs w:val="22"/>
        </w:rPr>
        <w:t>Závěrečné ustanovení</w:t>
      </w:r>
    </w:p>
    <w:p w:rsidR="006E22EC" w:rsidRDefault="006E22EC" w:rsidP="006E22EC">
      <w:pPr>
        <w:numPr>
          <w:ilvl w:val="0"/>
          <w:numId w:val="47"/>
        </w:numPr>
        <w:spacing w:after="120" w:line="276" w:lineRule="auto"/>
        <w:jc w:val="both"/>
        <w:rPr>
          <w:rFonts w:ascii="Arial" w:hAnsi="Arial" w:cs="Arial"/>
          <w:color w:val="000000"/>
          <w:sz w:val="22"/>
          <w:szCs w:val="22"/>
        </w:rPr>
      </w:pPr>
      <w:r>
        <w:rPr>
          <w:rFonts w:ascii="Arial" w:hAnsi="Arial" w:cs="Arial"/>
          <w:color w:val="000000"/>
          <w:sz w:val="22"/>
          <w:szCs w:val="22"/>
        </w:rPr>
        <w:t>Tyto Zásady vycházejí z platných a účinných právních předpisů. V případě změn těchto právních předpisů je třeba řídit se těmito právními předpisy, které jsou Zásadám nadřazeny.</w:t>
      </w:r>
    </w:p>
    <w:p w:rsidR="006E22EC" w:rsidRPr="007D5D18" w:rsidRDefault="006E22EC" w:rsidP="007D5D18">
      <w:pPr>
        <w:numPr>
          <w:ilvl w:val="0"/>
          <w:numId w:val="47"/>
        </w:numPr>
        <w:spacing w:after="120" w:line="276" w:lineRule="auto"/>
        <w:jc w:val="both"/>
        <w:rPr>
          <w:rFonts w:ascii="Arial" w:hAnsi="Arial" w:cs="Arial"/>
          <w:color w:val="000000"/>
          <w:sz w:val="22"/>
          <w:szCs w:val="22"/>
        </w:rPr>
      </w:pPr>
      <w:r>
        <w:rPr>
          <w:rFonts w:ascii="Arial" w:hAnsi="Arial" w:cs="Arial"/>
          <w:sz w:val="22"/>
          <w:szCs w:val="22"/>
        </w:rPr>
        <w:t xml:space="preserve">Tyto Zásady nabývají účinnosti dnem jejich vydání. </w:t>
      </w:r>
    </w:p>
    <w:p w:rsidR="00FD7D1B" w:rsidRDefault="00FD7D1B" w:rsidP="00FD7D1B">
      <w:pPr>
        <w:spacing w:after="120" w:line="276" w:lineRule="auto"/>
        <w:ind w:left="680"/>
        <w:jc w:val="both"/>
        <w:rPr>
          <w:rFonts w:ascii="Arial" w:hAnsi="Arial" w:cs="Arial"/>
          <w:color w:val="000000"/>
          <w:sz w:val="22"/>
          <w:szCs w:val="22"/>
        </w:rPr>
      </w:pPr>
    </w:p>
    <w:p w:rsidR="00402138" w:rsidRDefault="00402138" w:rsidP="00402138">
      <w:pPr>
        <w:spacing w:after="120" w:line="276" w:lineRule="auto"/>
        <w:jc w:val="both"/>
        <w:rPr>
          <w:rFonts w:ascii="Arial" w:hAnsi="Arial" w:cs="Arial"/>
          <w:bCs/>
          <w:color w:val="000000"/>
          <w:sz w:val="22"/>
          <w:szCs w:val="22"/>
        </w:rPr>
      </w:pPr>
      <w:r>
        <w:rPr>
          <w:rFonts w:ascii="Arial" w:hAnsi="Arial" w:cs="Arial"/>
          <w:bCs/>
          <w:color w:val="000000"/>
          <w:sz w:val="22"/>
          <w:szCs w:val="22"/>
        </w:rPr>
        <w:t xml:space="preserve">V Praze </w:t>
      </w:r>
      <w:r w:rsidRPr="000424AA">
        <w:rPr>
          <w:rFonts w:ascii="Arial" w:hAnsi="Arial" w:cs="Arial"/>
          <w:bCs/>
          <w:color w:val="000000"/>
          <w:sz w:val="22"/>
          <w:szCs w:val="22"/>
        </w:rPr>
        <w:t xml:space="preserve">dne </w:t>
      </w:r>
      <w:bookmarkStart w:id="0" w:name="_GoBack"/>
      <w:bookmarkEnd w:id="0"/>
      <w:r w:rsidR="004A2BE7">
        <w:rPr>
          <w:rFonts w:ascii="Arial" w:hAnsi="Arial" w:cs="Arial"/>
          <w:bCs/>
          <w:color w:val="000000"/>
          <w:sz w:val="22"/>
          <w:szCs w:val="22"/>
        </w:rPr>
        <w:t>30. listopadu 2016</w:t>
      </w:r>
      <w:r w:rsidR="009C35AD" w:rsidRPr="000424AA">
        <w:rPr>
          <w:rFonts w:ascii="Arial" w:hAnsi="Arial" w:cs="Arial"/>
          <w:bCs/>
          <w:color w:val="000000"/>
          <w:sz w:val="22"/>
          <w:szCs w:val="22"/>
        </w:rPr>
        <w:t xml:space="preserve">   </w:t>
      </w:r>
    </w:p>
    <w:p w:rsidR="00402138" w:rsidRDefault="00402138" w:rsidP="00402138">
      <w:pPr>
        <w:spacing w:line="276" w:lineRule="auto"/>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Milan Chovanec</w:t>
      </w:r>
    </w:p>
    <w:p w:rsidR="00402138" w:rsidRDefault="00402138" w:rsidP="00402138">
      <w:pPr>
        <w:spacing w:line="276" w:lineRule="auto"/>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r>
        <w:rPr>
          <w:rFonts w:ascii="Arial" w:hAnsi="Arial" w:cs="Arial"/>
          <w:bCs/>
          <w:color w:val="000000"/>
          <w:sz w:val="22"/>
          <w:szCs w:val="22"/>
        </w:rPr>
        <w:tab/>
        <w:t xml:space="preserve">   ministr vnitra</w:t>
      </w:r>
    </w:p>
    <w:p w:rsidR="00402138" w:rsidRDefault="00402138" w:rsidP="00402138">
      <w:pPr>
        <w:spacing w:line="276" w:lineRule="auto"/>
        <w:jc w:val="both"/>
        <w:rPr>
          <w:rFonts w:ascii="Arial" w:hAnsi="Arial" w:cs="Arial"/>
          <w:bCs/>
          <w:color w:val="000000"/>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r>
        <w:rPr>
          <w:rFonts w:ascii="Arial" w:hAnsi="Arial" w:cs="Arial"/>
          <w:bCs/>
          <w:color w:val="000000"/>
        </w:rPr>
        <w:t>(podepsáno elektronicky)</w:t>
      </w:r>
    </w:p>
    <w:p w:rsidR="00FD7D1B" w:rsidRDefault="00FD7D1B" w:rsidP="00402138">
      <w:pPr>
        <w:spacing w:after="120" w:line="276" w:lineRule="auto"/>
        <w:jc w:val="both"/>
        <w:rPr>
          <w:rFonts w:ascii="Arial" w:hAnsi="Arial" w:cs="Arial"/>
          <w:color w:val="000000"/>
          <w:sz w:val="22"/>
          <w:szCs w:val="22"/>
        </w:rPr>
      </w:pPr>
    </w:p>
    <w:sectPr w:rsidR="00FD7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A4" w:rsidRDefault="00DD62A4" w:rsidP="00677B7D">
      <w:r>
        <w:separator/>
      </w:r>
    </w:p>
  </w:endnote>
  <w:endnote w:type="continuationSeparator" w:id="0">
    <w:p w:rsidR="00DD62A4" w:rsidRDefault="00DD62A4" w:rsidP="006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A4" w:rsidRDefault="00DD62A4" w:rsidP="00677B7D">
      <w:r>
        <w:separator/>
      </w:r>
    </w:p>
  </w:footnote>
  <w:footnote w:type="continuationSeparator" w:id="0">
    <w:p w:rsidR="00DD62A4" w:rsidRDefault="00DD62A4" w:rsidP="00677B7D">
      <w:r>
        <w:continuationSeparator/>
      </w:r>
    </w:p>
  </w:footnote>
  <w:footnote w:id="1">
    <w:p w:rsidR="007A7D73" w:rsidRDefault="007A7D73" w:rsidP="007A7D73">
      <w:pPr>
        <w:pStyle w:val="Textpoznpodarou"/>
      </w:pPr>
      <w:r>
        <w:rPr>
          <w:rStyle w:val="Znakapoznpodarou"/>
        </w:rPr>
        <w:footnoteRef/>
      </w:r>
      <w:r>
        <w:t xml:space="preserve"> </w:t>
      </w:r>
      <w:r>
        <w:rPr>
          <w:rFonts w:ascii="Arial" w:hAnsi="Arial" w:cs="Arial"/>
          <w:sz w:val="16"/>
          <w:szCs w:val="16"/>
        </w:rPr>
        <w:t>§ 14 odst. 3 písm. e) zákona č. 218/2000 Sb., o rozpočtových pravidlech a o změně některých souvisejících zákonů (rozpočtová pravidla), ve znění pozdějších předpisů</w:t>
      </w:r>
    </w:p>
  </w:footnote>
  <w:footnote w:id="2">
    <w:p w:rsidR="00300B42" w:rsidRDefault="00300B42" w:rsidP="00FD7D1B">
      <w:pPr>
        <w:pStyle w:val="Textpoznpodarou"/>
      </w:pPr>
      <w:r>
        <w:rPr>
          <w:rStyle w:val="Znakapoznpodarou"/>
        </w:rPr>
        <w:footnoteRef/>
      </w:r>
      <w:r>
        <w:t xml:space="preserve"> </w:t>
      </w:r>
      <w:r>
        <w:rPr>
          <w:rFonts w:ascii="Arial" w:hAnsi="Arial" w:cs="Arial"/>
          <w:sz w:val="16"/>
          <w:szCs w:val="16"/>
        </w:rPr>
        <w:t>§ 19 odst. 2 zákona č. 218/2000 Sb., o rozpočtových pravidlech a o změně některých souvisejících zákonů (rozpočtová pravidla), ve znění pozdějších předpisů</w:t>
      </w:r>
    </w:p>
  </w:footnote>
  <w:footnote w:id="3">
    <w:p w:rsidR="00300B42" w:rsidRDefault="00300B42" w:rsidP="00FD7D1B">
      <w:pPr>
        <w:pStyle w:val="Textpoznpodarou"/>
        <w:rPr>
          <w:rFonts w:ascii="Arial" w:hAnsi="Arial" w:cs="Arial"/>
        </w:rPr>
      </w:pPr>
      <w:r>
        <w:rPr>
          <w:rStyle w:val="Znakapoznpodarou"/>
          <w:rFonts w:ascii="Arial" w:hAnsi="Arial" w:cs="Arial"/>
        </w:rPr>
        <w:footnoteRef/>
      </w:r>
      <w:r>
        <w:rPr>
          <w:rFonts w:ascii="Arial" w:hAnsi="Arial" w:cs="Arial"/>
        </w:rPr>
        <w:t xml:space="preserve"> </w:t>
      </w:r>
      <w:r>
        <w:rPr>
          <w:rFonts w:ascii="Arial" w:hAnsi="Arial" w:cs="Arial"/>
          <w:sz w:val="16"/>
          <w:szCs w:val="16"/>
        </w:rPr>
        <w:t>Z</w:t>
      </w:r>
      <w:r>
        <w:rPr>
          <w:rFonts w:ascii="Arial" w:hAnsi="Arial" w:cs="Arial"/>
          <w:color w:val="000000"/>
          <w:sz w:val="16"/>
          <w:szCs w:val="16"/>
        </w:rPr>
        <w:t>ejména v souladu se zákonem č. 563/1991 Sb., o účetnictví, ve znění pozdějších předpisů.</w:t>
      </w:r>
    </w:p>
  </w:footnote>
  <w:footnote w:id="4">
    <w:p w:rsidR="00300B42" w:rsidRDefault="00300B42" w:rsidP="00FD7D1B">
      <w:pPr>
        <w:pStyle w:val="Textpoznpodarou"/>
        <w:jc w:val="both"/>
        <w:rPr>
          <w:rFonts w:ascii="Arial" w:hAnsi="Arial" w:cs="Arial"/>
        </w:rPr>
      </w:pPr>
      <w:r>
        <w:rPr>
          <w:rStyle w:val="Znakapoznpodarou"/>
          <w:rFonts w:ascii="Arial" w:hAnsi="Arial" w:cs="Arial"/>
        </w:rPr>
        <w:footnoteRef/>
      </w:r>
      <w:r>
        <w:rPr>
          <w:rFonts w:ascii="Arial" w:hAnsi="Arial" w:cs="Arial"/>
        </w:rPr>
        <w:t xml:space="preserve"> </w:t>
      </w:r>
      <w:r>
        <w:rPr>
          <w:rFonts w:ascii="Arial" w:hAnsi="Arial" w:cs="Arial"/>
          <w:sz w:val="16"/>
          <w:szCs w:val="16"/>
        </w:rPr>
        <w:t>Dle § 7 odst. 2 zákona č. 320/2001 Sb., o finanční kontrole ve veřejné správě a o změně některých zákonů, ve znění pozdějších předpisů.</w:t>
      </w:r>
    </w:p>
  </w:footnote>
  <w:footnote w:id="5">
    <w:p w:rsidR="00300B42" w:rsidRDefault="00300B42" w:rsidP="00FD7D1B">
      <w:pPr>
        <w:pStyle w:val="Textpoznpodarou"/>
        <w:jc w:val="both"/>
      </w:pPr>
      <w:r>
        <w:rPr>
          <w:rStyle w:val="Znakapoznpodarou"/>
          <w:rFonts w:ascii="Arial" w:hAnsi="Arial" w:cs="Arial"/>
        </w:rPr>
        <w:footnoteRef/>
      </w:r>
      <w:r>
        <w:rPr>
          <w:rFonts w:ascii="Arial" w:hAnsi="Arial" w:cs="Arial"/>
        </w:rPr>
        <w:t xml:space="preserve"> </w:t>
      </w:r>
      <w:r>
        <w:rPr>
          <w:rFonts w:ascii="Arial" w:hAnsi="Arial" w:cs="Arial"/>
          <w:sz w:val="16"/>
          <w:szCs w:val="16"/>
        </w:rPr>
        <w:t>Zákon č. 320/2001 Sb., o finanční kontrole ve veřejné správě a o změně některých zákonů, ve znění pozdějších předpisů, zákon č. 255/2012 Sb., o kontrole (kontrolní řád)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9B"/>
    <w:multiLevelType w:val="hybridMultilevel"/>
    <w:tmpl w:val="24287B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FA1EB1"/>
    <w:multiLevelType w:val="singleLevel"/>
    <w:tmpl w:val="474C7FC4"/>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2">
    <w:nsid w:val="0746373C"/>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E139C5"/>
    <w:multiLevelType w:val="hybridMultilevel"/>
    <w:tmpl w:val="F5241F84"/>
    <w:lvl w:ilvl="0" w:tplc="C5F8737C">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
    <w:nsid w:val="0B127019"/>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C418A0"/>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CE583B"/>
    <w:multiLevelType w:val="hybridMultilevel"/>
    <w:tmpl w:val="24287B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9A030B"/>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D1475"/>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1D2CFB"/>
    <w:multiLevelType w:val="hybridMultilevel"/>
    <w:tmpl w:val="F5241F84"/>
    <w:lvl w:ilvl="0" w:tplc="C5F8737C">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0">
    <w:nsid w:val="417D1239"/>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7C1DF6"/>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912830"/>
    <w:multiLevelType w:val="hybridMultilevel"/>
    <w:tmpl w:val="3E6C1E9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1322733"/>
    <w:multiLevelType w:val="hybridMultilevel"/>
    <w:tmpl w:val="3E6C1E9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51D10874"/>
    <w:multiLevelType w:val="hybridMultilevel"/>
    <w:tmpl w:val="03A04CAA"/>
    <w:lvl w:ilvl="0" w:tplc="B88A2A24">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nsid w:val="53954F91"/>
    <w:multiLevelType w:val="hybridMultilevel"/>
    <w:tmpl w:val="7F60E59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A3622B8"/>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8417D5"/>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86456D"/>
    <w:multiLevelType w:val="hybridMultilevel"/>
    <w:tmpl w:val="24287B9C"/>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697AC5"/>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5427F9"/>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EB484D"/>
    <w:multiLevelType w:val="hybridMultilevel"/>
    <w:tmpl w:val="24287B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E55023"/>
    <w:multiLevelType w:val="hybridMultilevel"/>
    <w:tmpl w:val="3E6C1E9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75405B75"/>
    <w:multiLevelType w:val="hybridMultilevel"/>
    <w:tmpl w:val="3E6C1E9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76E178F7"/>
    <w:multiLevelType w:val="multilevel"/>
    <w:tmpl w:val="155E3EC6"/>
    <w:lvl w:ilvl="0">
      <w:start w:val="1"/>
      <w:numFmt w:val="decimal"/>
      <w:lvlText w:val="(%1)"/>
      <w:lvlJc w:val="left"/>
      <w:pPr>
        <w:tabs>
          <w:tab w:val="num" w:pos="1040"/>
        </w:tabs>
        <w:ind w:firstLine="68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6"/>
  </w:num>
  <w:num w:numId="7">
    <w:abstractNumId w:val="12"/>
  </w:num>
  <w:num w:numId="8">
    <w:abstractNumId w:val="20"/>
  </w:num>
  <w:num w:numId="9">
    <w:abstractNumId w:val="10"/>
  </w:num>
  <w:num w:numId="10">
    <w:abstractNumId w:val="18"/>
  </w:num>
  <w:num w:numId="11">
    <w:abstractNumId w:val="21"/>
  </w:num>
  <w:num w:numId="12">
    <w:abstractNumId w:val="17"/>
  </w:num>
  <w:num w:numId="13">
    <w:abstractNumId w:val="16"/>
  </w:num>
  <w:num w:numId="14">
    <w:abstractNumId w:val="19"/>
  </w:num>
  <w:num w:numId="15">
    <w:abstractNumId w:val="14"/>
  </w:num>
  <w:num w:numId="16">
    <w:abstractNumId w:val="9"/>
  </w:num>
  <w:num w:numId="17">
    <w:abstractNumId w:val="2"/>
  </w:num>
  <w:num w:numId="18">
    <w:abstractNumId w:val="4"/>
  </w:num>
  <w:num w:numId="19">
    <w:abstractNumId w:val="24"/>
  </w:num>
  <w:num w:numId="20">
    <w:abstractNumId w:val="8"/>
  </w:num>
  <w:num w:numId="21">
    <w:abstractNumId w:val="13"/>
  </w:num>
  <w:num w:numId="22">
    <w:abstractNumId w:val="23"/>
  </w:num>
  <w:num w:numId="23">
    <w:abstractNumId w:val="22"/>
  </w:num>
  <w:num w:numId="24">
    <w:abstractNumId w:val="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4B"/>
    <w:rsid w:val="00002A04"/>
    <w:rsid w:val="0003243B"/>
    <w:rsid w:val="000424AA"/>
    <w:rsid w:val="00084553"/>
    <w:rsid w:val="000C300E"/>
    <w:rsid w:val="00103656"/>
    <w:rsid w:val="001079B7"/>
    <w:rsid w:val="001376F8"/>
    <w:rsid w:val="00196D03"/>
    <w:rsid w:val="001A694A"/>
    <w:rsid w:val="001D27DA"/>
    <w:rsid w:val="001F1757"/>
    <w:rsid w:val="002137DE"/>
    <w:rsid w:val="00233324"/>
    <w:rsid w:val="002441B6"/>
    <w:rsid w:val="00272BD3"/>
    <w:rsid w:val="002B1BC3"/>
    <w:rsid w:val="002C435A"/>
    <w:rsid w:val="002E181F"/>
    <w:rsid w:val="00300B42"/>
    <w:rsid w:val="00313AB1"/>
    <w:rsid w:val="00314DFB"/>
    <w:rsid w:val="0031558F"/>
    <w:rsid w:val="00327DB2"/>
    <w:rsid w:val="0037095B"/>
    <w:rsid w:val="00375C47"/>
    <w:rsid w:val="003772CF"/>
    <w:rsid w:val="003810D7"/>
    <w:rsid w:val="003D0448"/>
    <w:rsid w:val="003D6C49"/>
    <w:rsid w:val="00402138"/>
    <w:rsid w:val="00434A9B"/>
    <w:rsid w:val="004A2BE7"/>
    <w:rsid w:val="004D43C6"/>
    <w:rsid w:val="00521F04"/>
    <w:rsid w:val="00571384"/>
    <w:rsid w:val="005A4D6A"/>
    <w:rsid w:val="006065AA"/>
    <w:rsid w:val="00624B2D"/>
    <w:rsid w:val="006416DA"/>
    <w:rsid w:val="006475BE"/>
    <w:rsid w:val="00674505"/>
    <w:rsid w:val="00677B7D"/>
    <w:rsid w:val="006A0DB8"/>
    <w:rsid w:val="006A266B"/>
    <w:rsid w:val="006E22EC"/>
    <w:rsid w:val="006E73C6"/>
    <w:rsid w:val="006F08E7"/>
    <w:rsid w:val="007266F4"/>
    <w:rsid w:val="00731645"/>
    <w:rsid w:val="00752FD4"/>
    <w:rsid w:val="007A7D73"/>
    <w:rsid w:val="007C7BEB"/>
    <w:rsid w:val="007D5D18"/>
    <w:rsid w:val="008157FE"/>
    <w:rsid w:val="00830A3C"/>
    <w:rsid w:val="00831719"/>
    <w:rsid w:val="00882E1A"/>
    <w:rsid w:val="008830CE"/>
    <w:rsid w:val="008A1067"/>
    <w:rsid w:val="008A32B5"/>
    <w:rsid w:val="008B2F58"/>
    <w:rsid w:val="008D4CE7"/>
    <w:rsid w:val="008E35A3"/>
    <w:rsid w:val="00957FC0"/>
    <w:rsid w:val="00993F20"/>
    <w:rsid w:val="009C35AD"/>
    <w:rsid w:val="009D0D68"/>
    <w:rsid w:val="00A16E78"/>
    <w:rsid w:val="00A94142"/>
    <w:rsid w:val="00AA25B2"/>
    <w:rsid w:val="00AC0A92"/>
    <w:rsid w:val="00AD179F"/>
    <w:rsid w:val="00AD1DBC"/>
    <w:rsid w:val="00B007EF"/>
    <w:rsid w:val="00B46494"/>
    <w:rsid w:val="00BD492A"/>
    <w:rsid w:val="00CD1682"/>
    <w:rsid w:val="00CE0CBC"/>
    <w:rsid w:val="00CF3452"/>
    <w:rsid w:val="00D01672"/>
    <w:rsid w:val="00D31592"/>
    <w:rsid w:val="00D819F3"/>
    <w:rsid w:val="00D82F7C"/>
    <w:rsid w:val="00DB4E08"/>
    <w:rsid w:val="00DB727B"/>
    <w:rsid w:val="00DD3958"/>
    <w:rsid w:val="00DD62A4"/>
    <w:rsid w:val="00DF4C4D"/>
    <w:rsid w:val="00E21656"/>
    <w:rsid w:val="00E53077"/>
    <w:rsid w:val="00E53EB4"/>
    <w:rsid w:val="00E63BDE"/>
    <w:rsid w:val="00EB44F9"/>
    <w:rsid w:val="00ED6B0A"/>
    <w:rsid w:val="00F17BCB"/>
    <w:rsid w:val="00F71FF4"/>
    <w:rsid w:val="00F7644B"/>
    <w:rsid w:val="00FD7D1B"/>
    <w:rsid w:val="00FF4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B7D"/>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77B7D"/>
    <w:pPr>
      <w:keepNext/>
      <w:jc w:val="center"/>
      <w:outlineLvl w:val="0"/>
    </w:pPr>
    <w:rPr>
      <w:rFonts w:ascii="Arial" w:hAnsi="Arial" w:cs="Arial"/>
      <w:b/>
      <w:bCs/>
      <w:sz w:val="24"/>
      <w:szCs w:val="24"/>
    </w:rPr>
  </w:style>
  <w:style w:type="paragraph" w:styleId="Nadpis3">
    <w:name w:val="heading 3"/>
    <w:basedOn w:val="Normln"/>
    <w:next w:val="Normln"/>
    <w:link w:val="Nadpis3Char"/>
    <w:qFormat/>
    <w:rsid w:val="00677B7D"/>
    <w:pPr>
      <w:keepNext/>
      <w:jc w:val="center"/>
      <w:outlineLvl w:val="2"/>
    </w:pPr>
    <w:rPr>
      <w:rFonts w:ascii="Arial" w:hAnsi="Arial" w:cs="Arial"/>
      <w:b/>
      <w:bCs/>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7B7D"/>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677B7D"/>
    <w:rPr>
      <w:rFonts w:ascii="Arial" w:eastAsia="Times New Roman" w:hAnsi="Arial" w:cs="Arial"/>
      <w:b/>
      <w:bCs/>
      <w:color w:val="000000"/>
      <w:lang w:eastAsia="cs-CZ"/>
    </w:rPr>
  </w:style>
  <w:style w:type="paragraph" w:styleId="Zkladntextodsazen">
    <w:name w:val="Body Text Indent"/>
    <w:basedOn w:val="Normln"/>
    <w:link w:val="ZkladntextodsazenChar"/>
    <w:rsid w:val="00677B7D"/>
    <w:pPr>
      <w:jc w:val="both"/>
    </w:pPr>
    <w:rPr>
      <w:rFonts w:ascii="Arial" w:hAnsi="Arial" w:cs="Arial"/>
      <w:color w:val="0000FF"/>
      <w:sz w:val="22"/>
      <w:szCs w:val="22"/>
    </w:rPr>
  </w:style>
  <w:style w:type="character" w:customStyle="1" w:styleId="ZkladntextodsazenChar">
    <w:name w:val="Základní text odsazený Char"/>
    <w:basedOn w:val="Standardnpsmoodstavce"/>
    <w:link w:val="Zkladntextodsazen"/>
    <w:rsid w:val="00677B7D"/>
    <w:rPr>
      <w:rFonts w:ascii="Arial" w:eastAsia="Times New Roman" w:hAnsi="Arial" w:cs="Arial"/>
      <w:color w:val="0000FF"/>
      <w:lang w:eastAsia="cs-CZ"/>
    </w:rPr>
  </w:style>
  <w:style w:type="paragraph" w:styleId="Textpoznpodarou">
    <w:name w:val="footnote text"/>
    <w:basedOn w:val="Normln"/>
    <w:link w:val="TextpoznpodarouChar"/>
    <w:uiPriority w:val="99"/>
    <w:semiHidden/>
    <w:rsid w:val="00677B7D"/>
  </w:style>
  <w:style w:type="character" w:customStyle="1" w:styleId="TextpoznpodarouChar">
    <w:name w:val="Text pozn. pod čarou Char"/>
    <w:basedOn w:val="Standardnpsmoodstavce"/>
    <w:link w:val="Textpoznpodarou"/>
    <w:uiPriority w:val="99"/>
    <w:semiHidden/>
    <w:rsid w:val="00677B7D"/>
    <w:rPr>
      <w:rFonts w:ascii="Times New Roman" w:eastAsia="Times New Roman" w:hAnsi="Times New Roman" w:cs="Times New Roman"/>
      <w:sz w:val="20"/>
      <w:szCs w:val="20"/>
      <w:lang w:eastAsia="cs-CZ"/>
    </w:rPr>
  </w:style>
  <w:style w:type="character" w:styleId="Znakapoznpodarou">
    <w:name w:val="footnote reference"/>
    <w:semiHidden/>
    <w:rsid w:val="00677B7D"/>
    <w:rPr>
      <w:vertAlign w:val="superscript"/>
    </w:rPr>
  </w:style>
  <w:style w:type="paragraph" w:styleId="Zkladntext3">
    <w:name w:val="Body Text 3"/>
    <w:basedOn w:val="Normln"/>
    <w:link w:val="Zkladntext3Char"/>
    <w:rsid w:val="00677B7D"/>
    <w:pPr>
      <w:jc w:val="center"/>
    </w:pPr>
    <w:rPr>
      <w:rFonts w:ascii="Arial" w:hAnsi="Arial" w:cs="Arial"/>
      <w:b/>
      <w:bCs/>
      <w:sz w:val="24"/>
      <w:szCs w:val="24"/>
    </w:rPr>
  </w:style>
  <w:style w:type="character" w:customStyle="1" w:styleId="Zkladntext3Char">
    <w:name w:val="Základní text 3 Char"/>
    <w:basedOn w:val="Standardnpsmoodstavce"/>
    <w:link w:val="Zkladntext3"/>
    <w:rsid w:val="00677B7D"/>
    <w:rPr>
      <w:rFonts w:ascii="Arial" w:eastAsia="Times New Roman" w:hAnsi="Arial" w:cs="Arial"/>
      <w:b/>
      <w:bCs/>
      <w:sz w:val="24"/>
      <w:szCs w:val="24"/>
      <w:lang w:eastAsia="cs-CZ"/>
    </w:rPr>
  </w:style>
  <w:style w:type="character" w:styleId="Odkaznakoment">
    <w:name w:val="annotation reference"/>
    <w:basedOn w:val="Standardnpsmoodstavce"/>
    <w:uiPriority w:val="99"/>
    <w:semiHidden/>
    <w:unhideWhenUsed/>
    <w:rsid w:val="00FF40DB"/>
    <w:rPr>
      <w:sz w:val="16"/>
      <w:szCs w:val="16"/>
    </w:rPr>
  </w:style>
  <w:style w:type="paragraph" w:styleId="Textkomente">
    <w:name w:val="annotation text"/>
    <w:basedOn w:val="Normln"/>
    <w:link w:val="TextkomenteChar"/>
    <w:uiPriority w:val="99"/>
    <w:semiHidden/>
    <w:unhideWhenUsed/>
    <w:rsid w:val="00FF40DB"/>
  </w:style>
  <w:style w:type="character" w:customStyle="1" w:styleId="TextkomenteChar">
    <w:name w:val="Text komentáře Char"/>
    <w:basedOn w:val="Standardnpsmoodstavce"/>
    <w:link w:val="Textkomente"/>
    <w:uiPriority w:val="99"/>
    <w:semiHidden/>
    <w:rsid w:val="00FF40D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0DB"/>
    <w:rPr>
      <w:b/>
      <w:bCs/>
    </w:rPr>
  </w:style>
  <w:style w:type="character" w:customStyle="1" w:styleId="PedmtkomenteChar">
    <w:name w:val="Předmět komentáře Char"/>
    <w:basedOn w:val="TextkomenteChar"/>
    <w:link w:val="Pedmtkomente"/>
    <w:uiPriority w:val="99"/>
    <w:semiHidden/>
    <w:rsid w:val="00FF40D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F40DB"/>
    <w:rPr>
      <w:rFonts w:ascii="Tahoma" w:hAnsi="Tahoma" w:cs="Tahoma"/>
      <w:sz w:val="16"/>
      <w:szCs w:val="16"/>
    </w:rPr>
  </w:style>
  <w:style w:type="character" w:customStyle="1" w:styleId="TextbublinyChar">
    <w:name w:val="Text bubliny Char"/>
    <w:basedOn w:val="Standardnpsmoodstavce"/>
    <w:link w:val="Textbubliny"/>
    <w:uiPriority w:val="99"/>
    <w:semiHidden/>
    <w:rsid w:val="00FF40D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6E22EC"/>
    <w:rPr>
      <w:color w:val="0000FF" w:themeColor="hyperlink"/>
      <w:u w:val="single"/>
    </w:rPr>
  </w:style>
  <w:style w:type="paragraph" w:customStyle="1" w:styleId="Zkladntext21">
    <w:name w:val="Základní text 21"/>
    <w:basedOn w:val="Normln"/>
    <w:rsid w:val="00CE0CBC"/>
    <w:pPr>
      <w:overflowPunct w:val="0"/>
      <w:adjustRightInd w:val="0"/>
      <w:spacing w:after="240"/>
      <w:jc w:val="both"/>
      <w:textAlignment w:val="baseline"/>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B7D"/>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77B7D"/>
    <w:pPr>
      <w:keepNext/>
      <w:jc w:val="center"/>
      <w:outlineLvl w:val="0"/>
    </w:pPr>
    <w:rPr>
      <w:rFonts w:ascii="Arial" w:hAnsi="Arial" w:cs="Arial"/>
      <w:b/>
      <w:bCs/>
      <w:sz w:val="24"/>
      <w:szCs w:val="24"/>
    </w:rPr>
  </w:style>
  <w:style w:type="paragraph" w:styleId="Nadpis3">
    <w:name w:val="heading 3"/>
    <w:basedOn w:val="Normln"/>
    <w:next w:val="Normln"/>
    <w:link w:val="Nadpis3Char"/>
    <w:qFormat/>
    <w:rsid w:val="00677B7D"/>
    <w:pPr>
      <w:keepNext/>
      <w:jc w:val="center"/>
      <w:outlineLvl w:val="2"/>
    </w:pPr>
    <w:rPr>
      <w:rFonts w:ascii="Arial" w:hAnsi="Arial" w:cs="Arial"/>
      <w:b/>
      <w:bCs/>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7B7D"/>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677B7D"/>
    <w:rPr>
      <w:rFonts w:ascii="Arial" w:eastAsia="Times New Roman" w:hAnsi="Arial" w:cs="Arial"/>
      <w:b/>
      <w:bCs/>
      <w:color w:val="000000"/>
      <w:lang w:eastAsia="cs-CZ"/>
    </w:rPr>
  </w:style>
  <w:style w:type="paragraph" w:styleId="Zkladntextodsazen">
    <w:name w:val="Body Text Indent"/>
    <w:basedOn w:val="Normln"/>
    <w:link w:val="ZkladntextodsazenChar"/>
    <w:rsid w:val="00677B7D"/>
    <w:pPr>
      <w:jc w:val="both"/>
    </w:pPr>
    <w:rPr>
      <w:rFonts w:ascii="Arial" w:hAnsi="Arial" w:cs="Arial"/>
      <w:color w:val="0000FF"/>
      <w:sz w:val="22"/>
      <w:szCs w:val="22"/>
    </w:rPr>
  </w:style>
  <w:style w:type="character" w:customStyle="1" w:styleId="ZkladntextodsazenChar">
    <w:name w:val="Základní text odsazený Char"/>
    <w:basedOn w:val="Standardnpsmoodstavce"/>
    <w:link w:val="Zkladntextodsazen"/>
    <w:rsid w:val="00677B7D"/>
    <w:rPr>
      <w:rFonts w:ascii="Arial" w:eastAsia="Times New Roman" w:hAnsi="Arial" w:cs="Arial"/>
      <w:color w:val="0000FF"/>
      <w:lang w:eastAsia="cs-CZ"/>
    </w:rPr>
  </w:style>
  <w:style w:type="paragraph" w:styleId="Textpoznpodarou">
    <w:name w:val="footnote text"/>
    <w:basedOn w:val="Normln"/>
    <w:link w:val="TextpoznpodarouChar"/>
    <w:uiPriority w:val="99"/>
    <w:semiHidden/>
    <w:rsid w:val="00677B7D"/>
  </w:style>
  <w:style w:type="character" w:customStyle="1" w:styleId="TextpoznpodarouChar">
    <w:name w:val="Text pozn. pod čarou Char"/>
    <w:basedOn w:val="Standardnpsmoodstavce"/>
    <w:link w:val="Textpoznpodarou"/>
    <w:uiPriority w:val="99"/>
    <w:semiHidden/>
    <w:rsid w:val="00677B7D"/>
    <w:rPr>
      <w:rFonts w:ascii="Times New Roman" w:eastAsia="Times New Roman" w:hAnsi="Times New Roman" w:cs="Times New Roman"/>
      <w:sz w:val="20"/>
      <w:szCs w:val="20"/>
      <w:lang w:eastAsia="cs-CZ"/>
    </w:rPr>
  </w:style>
  <w:style w:type="character" w:styleId="Znakapoznpodarou">
    <w:name w:val="footnote reference"/>
    <w:semiHidden/>
    <w:rsid w:val="00677B7D"/>
    <w:rPr>
      <w:vertAlign w:val="superscript"/>
    </w:rPr>
  </w:style>
  <w:style w:type="paragraph" w:styleId="Zkladntext3">
    <w:name w:val="Body Text 3"/>
    <w:basedOn w:val="Normln"/>
    <w:link w:val="Zkladntext3Char"/>
    <w:rsid w:val="00677B7D"/>
    <w:pPr>
      <w:jc w:val="center"/>
    </w:pPr>
    <w:rPr>
      <w:rFonts w:ascii="Arial" w:hAnsi="Arial" w:cs="Arial"/>
      <w:b/>
      <w:bCs/>
      <w:sz w:val="24"/>
      <w:szCs w:val="24"/>
    </w:rPr>
  </w:style>
  <w:style w:type="character" w:customStyle="1" w:styleId="Zkladntext3Char">
    <w:name w:val="Základní text 3 Char"/>
    <w:basedOn w:val="Standardnpsmoodstavce"/>
    <w:link w:val="Zkladntext3"/>
    <w:rsid w:val="00677B7D"/>
    <w:rPr>
      <w:rFonts w:ascii="Arial" w:eastAsia="Times New Roman" w:hAnsi="Arial" w:cs="Arial"/>
      <w:b/>
      <w:bCs/>
      <w:sz w:val="24"/>
      <w:szCs w:val="24"/>
      <w:lang w:eastAsia="cs-CZ"/>
    </w:rPr>
  </w:style>
  <w:style w:type="character" w:styleId="Odkaznakoment">
    <w:name w:val="annotation reference"/>
    <w:basedOn w:val="Standardnpsmoodstavce"/>
    <w:uiPriority w:val="99"/>
    <w:semiHidden/>
    <w:unhideWhenUsed/>
    <w:rsid w:val="00FF40DB"/>
    <w:rPr>
      <w:sz w:val="16"/>
      <w:szCs w:val="16"/>
    </w:rPr>
  </w:style>
  <w:style w:type="paragraph" w:styleId="Textkomente">
    <w:name w:val="annotation text"/>
    <w:basedOn w:val="Normln"/>
    <w:link w:val="TextkomenteChar"/>
    <w:uiPriority w:val="99"/>
    <w:semiHidden/>
    <w:unhideWhenUsed/>
    <w:rsid w:val="00FF40DB"/>
  </w:style>
  <w:style w:type="character" w:customStyle="1" w:styleId="TextkomenteChar">
    <w:name w:val="Text komentáře Char"/>
    <w:basedOn w:val="Standardnpsmoodstavce"/>
    <w:link w:val="Textkomente"/>
    <w:uiPriority w:val="99"/>
    <w:semiHidden/>
    <w:rsid w:val="00FF40D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0DB"/>
    <w:rPr>
      <w:b/>
      <w:bCs/>
    </w:rPr>
  </w:style>
  <w:style w:type="character" w:customStyle="1" w:styleId="PedmtkomenteChar">
    <w:name w:val="Předmět komentáře Char"/>
    <w:basedOn w:val="TextkomenteChar"/>
    <w:link w:val="Pedmtkomente"/>
    <w:uiPriority w:val="99"/>
    <w:semiHidden/>
    <w:rsid w:val="00FF40D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F40DB"/>
    <w:rPr>
      <w:rFonts w:ascii="Tahoma" w:hAnsi="Tahoma" w:cs="Tahoma"/>
      <w:sz w:val="16"/>
      <w:szCs w:val="16"/>
    </w:rPr>
  </w:style>
  <w:style w:type="character" w:customStyle="1" w:styleId="TextbublinyChar">
    <w:name w:val="Text bubliny Char"/>
    <w:basedOn w:val="Standardnpsmoodstavce"/>
    <w:link w:val="Textbubliny"/>
    <w:uiPriority w:val="99"/>
    <w:semiHidden/>
    <w:rsid w:val="00FF40D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6E22EC"/>
    <w:rPr>
      <w:color w:val="0000FF" w:themeColor="hyperlink"/>
      <w:u w:val="single"/>
    </w:rPr>
  </w:style>
  <w:style w:type="paragraph" w:customStyle="1" w:styleId="Zkladntext21">
    <w:name w:val="Základní text 21"/>
    <w:basedOn w:val="Normln"/>
    <w:rsid w:val="00CE0CBC"/>
    <w:pPr>
      <w:overflowPunct w:val="0"/>
      <w:adjustRightInd w:val="0"/>
      <w:spacing w:after="240"/>
      <w:jc w:val="both"/>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elznicova@mvcr.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elznicova@mvcr.cz" TargetMode="External"/><Relationship Id="rId4" Type="http://schemas.openxmlformats.org/officeDocument/2006/relationships/settings" Target="settings.xml"/><Relationship Id="rId9" Type="http://schemas.openxmlformats.org/officeDocument/2006/relationships/hyperlink" Target="mailto:tatjana.elznicov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2217</Words>
  <Characters>13087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18</cp:revision>
  <cp:lastPrinted>2016-11-10T07:34:00Z</cp:lastPrinted>
  <dcterms:created xsi:type="dcterms:W3CDTF">2016-11-11T10:53:00Z</dcterms:created>
  <dcterms:modified xsi:type="dcterms:W3CDTF">2016-12-02T08:41:00Z</dcterms:modified>
</cp:coreProperties>
</file>