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8" w:rsidRPr="00EF7301" w:rsidRDefault="00F171C8" w:rsidP="00F171C8">
      <w:pPr>
        <w:pStyle w:val="Zkladntext"/>
        <w:spacing w:line="240" w:lineRule="auto"/>
        <w:jc w:val="center"/>
        <w:rPr>
          <w:b/>
          <w:sz w:val="28"/>
          <w:szCs w:val="32"/>
        </w:rPr>
      </w:pPr>
      <w:r w:rsidRPr="00EF7301">
        <w:rPr>
          <w:b/>
          <w:sz w:val="28"/>
          <w:szCs w:val="32"/>
        </w:rPr>
        <w:t xml:space="preserve">PODMÍNKY POUŽITÍ PODPORY Z NP </w:t>
      </w:r>
      <w:r>
        <w:rPr>
          <w:b/>
          <w:sz w:val="28"/>
          <w:szCs w:val="32"/>
        </w:rPr>
        <w:t>AMIF/ISF</w:t>
      </w:r>
    </w:p>
    <w:p w:rsidR="00F171C8" w:rsidRPr="00EF7301" w:rsidRDefault="00F171C8" w:rsidP="00F171C8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F171C8" w:rsidRPr="00EF7301" w:rsidRDefault="00F171C8" w:rsidP="00F171C8">
      <w:pPr>
        <w:spacing w:line="240" w:lineRule="auto"/>
        <w:rPr>
          <w:sz w:val="20"/>
        </w:rPr>
      </w:pPr>
    </w:p>
    <w:p w:rsidR="00F171C8" w:rsidRPr="00EF7301" w:rsidRDefault="00F171C8" w:rsidP="00F171C8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[…] registrační číslo […] (dále jen „projekt“) stanoveny takto:</w:t>
      </w:r>
    </w:p>
    <w:p w:rsidR="00F171C8" w:rsidRPr="00EF7301" w:rsidRDefault="00F171C8" w:rsidP="00F171C8">
      <w:pPr>
        <w:spacing w:line="240" w:lineRule="auto"/>
        <w:rPr>
          <w:szCs w:val="24"/>
        </w:rPr>
      </w:pPr>
    </w:p>
    <w:p w:rsidR="00F171C8" w:rsidRPr="00EF7301" w:rsidRDefault="00F171C8" w:rsidP="00F171C8">
      <w:pPr>
        <w:spacing w:before="36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F171C8" w:rsidRPr="00EF7301" w:rsidRDefault="00F171C8" w:rsidP="00F171C8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Specifikace útvaru odpovědného za roli příjemce podpory z NP </w:t>
      </w:r>
      <w:r>
        <w:rPr>
          <w:b/>
          <w:bCs/>
          <w:sz w:val="22"/>
        </w:rPr>
        <w:t>AMIF/ISF</w:t>
      </w:r>
      <w:r w:rsidRPr="00EF7301">
        <w:rPr>
          <w:b/>
          <w:bCs/>
          <w:sz w:val="22"/>
        </w:rPr>
        <w:t xml:space="preserve"> (dále jen „příjemce“)</w:t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F171C8" w:rsidRPr="00EF7301" w:rsidTr="00C23441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5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Azylového, migračního a integračního fondu</w:t>
            </w:r>
            <w:r>
              <w:rPr>
                <w:sz w:val="22"/>
                <w:szCs w:val="24"/>
                <w:shd w:val="clear" w:color="auto" w:fill="D9D9D9" w:themeFill="background1" w:themeFillShade="D9"/>
              </w:rPr>
              <w:t>/</w:t>
            </w:r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Fondu pro vnitřní bezpečnost</w:t>
            </w:r>
            <w:r w:rsidRPr="00EF7301">
              <w:rPr>
                <w:bCs/>
                <w:snapToGrid w:val="0"/>
                <w:sz w:val="22"/>
                <w:szCs w:val="24"/>
              </w:rPr>
              <w:t>,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5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z toho státní rozpočet, tj. prostředky ze státního rozpočtu na část národního spolufinancování (§ 44 odst. 2 písm. i) rozpočtových pravidel).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6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F171C8" w:rsidRPr="00EF7301" w:rsidTr="00C23441">
        <w:trPr>
          <w:trHeight w:val="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6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F171C8" w:rsidRPr="00EF7301" w:rsidRDefault="00F171C8" w:rsidP="00F171C8">
      <w:pPr>
        <w:pStyle w:val="slovanseznam"/>
        <w:numPr>
          <w:ilvl w:val="1"/>
          <w:numId w:val="14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Podpora je poskytována na způsobilé výdaje projektu, které nejsou či nebudou kryty z příjmů projektu připadajících na způsobilé výdaje. 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Pro zapojení zdrojů financování dle výše uvedené tabulky jsou rozhodující hodnoty podílů vyjádřené v procentech. Vyjádření v Kč je jako závazné a maximálně možné stanoveno pouze </w:t>
      </w:r>
      <w:r w:rsidRPr="00EF7301">
        <w:rPr>
          <w:sz w:val="22"/>
        </w:rPr>
        <w:lastRenderedPageBreak/>
        <w:t>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EF7301">
        <w:rPr>
          <w:sz w:val="22"/>
          <w:shd w:val="clear" w:color="auto" w:fill="D9D9D9" w:themeFill="background1" w:themeFillShade="D9"/>
        </w:rPr>
        <w:t>Azylový, migrační a integrační fond</w:t>
      </w:r>
      <w:r>
        <w:rPr>
          <w:sz w:val="22"/>
          <w:shd w:val="clear" w:color="auto" w:fill="D9D9D9" w:themeFill="background1" w:themeFillShade="D9"/>
        </w:rPr>
        <w:t>/</w:t>
      </w:r>
      <w:r w:rsidRPr="00EF7301">
        <w:rPr>
          <w:sz w:val="22"/>
          <w:shd w:val="clear" w:color="auto" w:fill="D9D9D9" w:themeFill="background1" w:themeFillShade="D9"/>
        </w:rPr>
        <w:t>Fond pro vnitřní bezpečnost</w:t>
      </w:r>
      <w:r w:rsidRPr="00EF7301">
        <w:rPr>
          <w:sz w:val="22"/>
        </w:rPr>
        <w:t>“, pro další zdroj se jedná o vyjádření pouze orientační.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>
        <w:rPr>
          <w:sz w:val="22"/>
        </w:rPr>
        <w:t>AMIF/ISF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>
        <w:rPr>
          <w:sz w:val="22"/>
        </w:rPr>
        <w:t>AMIF/ISF</w:t>
      </w:r>
      <w:r w:rsidRPr="00EF7301">
        <w:rPr>
          <w:sz w:val="22"/>
        </w:rPr>
        <w:t xml:space="preserve"> a právními předpisy ČR a EU snížena o ty příjmy, které projekt vytvoří v průběhu své realizace</w:t>
      </w:r>
      <w:r>
        <w:rPr>
          <w:sz w:val="22"/>
        </w:rPr>
        <w:t>.</w:t>
      </w:r>
      <w:r w:rsidRPr="00EF7301">
        <w:rPr>
          <w:sz w:val="22"/>
        </w:rPr>
        <w:t xml:space="preserve"> 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F171C8" w:rsidRPr="00EF7301" w:rsidRDefault="00F171C8" w:rsidP="00F171C8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>V rámci realizace projektu identifikovaného názvem a registračním číslem v úvodní části těchto Podmínek je účelem podpory: […]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F171C8" w:rsidRPr="00EF7301" w:rsidRDefault="00F171C8" w:rsidP="00F171C8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F171C8" w:rsidRPr="00EF7301" w:rsidRDefault="00F171C8" w:rsidP="00F171C8">
      <w:pPr>
        <w:pStyle w:val="Zhlav"/>
        <w:numPr>
          <w:ilvl w:val="0"/>
          <w:numId w:val="7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  <w:t>[…]</w:t>
      </w:r>
    </w:p>
    <w:p w:rsidR="00F171C8" w:rsidRPr="00EF7301" w:rsidRDefault="00F171C8" w:rsidP="00F171C8">
      <w:pPr>
        <w:pStyle w:val="Zhlav"/>
        <w:numPr>
          <w:ilvl w:val="0"/>
          <w:numId w:val="7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datum ukončení realizace projektu nejpozději </w:t>
      </w:r>
      <w:proofErr w:type="gramStart"/>
      <w:r w:rsidRPr="00EF7301">
        <w:rPr>
          <w:rFonts w:cs="Arial"/>
          <w:szCs w:val="24"/>
        </w:rPr>
        <w:t>do</w:t>
      </w:r>
      <w:proofErr w:type="gramEnd"/>
      <w:r w:rsidRPr="00EF7301">
        <w:rPr>
          <w:rFonts w:cs="Arial"/>
          <w:szCs w:val="24"/>
        </w:rPr>
        <w:t>:</w:t>
      </w:r>
      <w:r w:rsidRPr="00EF7301">
        <w:rPr>
          <w:rFonts w:cs="Arial"/>
          <w:szCs w:val="24"/>
        </w:rPr>
        <w:tab/>
        <w:t>[…]</w:t>
      </w:r>
    </w:p>
    <w:p w:rsidR="00F171C8" w:rsidRPr="00EF7301" w:rsidRDefault="00F171C8" w:rsidP="00F171C8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a útvar zajišťující roli poskytovatele podpory z 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F171C8" w:rsidRPr="00EF7301" w:rsidRDefault="00F171C8" w:rsidP="00F171C8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F171C8" w:rsidRPr="00EF7301" w:rsidRDefault="00F171C8" w:rsidP="00F171C8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Použití podpory je upraveno nejen těmito Podmínkami a právními předpisy ČR a EU, ale rovněž pravidly, která nemají povahu právních předpisů a jsou vydávána MV ve formě dokumentů:</w:t>
      </w:r>
    </w:p>
    <w:p w:rsidR="00F171C8" w:rsidRPr="00EF7301" w:rsidRDefault="00F171C8" w:rsidP="00F171C8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>Příručka pro žadatele a příjemce finanční podpory NP AMIF a ISF</w:t>
      </w:r>
    </w:p>
    <w:p w:rsidR="00F171C8" w:rsidRPr="00EF7301" w:rsidRDefault="00F171C8" w:rsidP="00F171C8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F171C8" w:rsidRPr="00EF7301" w:rsidRDefault="00F171C8" w:rsidP="00F171C8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t xml:space="preserve">Dokumenty uvedené v odrážkách jsou uveřejněny na webovém portálu Odpovědného orgánu </w:t>
      </w:r>
      <w:hyperlink r:id="rId8" w:history="1">
        <w:r w:rsidRPr="00EF7301">
          <w:rPr>
            <w:rStyle w:val="Hypertextovodkaz"/>
            <w:rFonts w:eastAsiaTheme="majorEastAsia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AMIF/ISF“. Pravidla NP AMIF/ISF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V případě rozporu obsahu těchto Podmínek a obsahu dokumentů v odrážkách má přednost obsah těchto Podmínek.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lastRenderedPageBreak/>
        <w:t xml:space="preserve">Příjemce je povinen při realizaci projektu dodržet údaje a skutečnosti, které jsou uvedeny v Žádosti o podporu, která je přílohou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bez souhlasu a MV, anebo ve znění změn, které MV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schválilo.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AMIF/ISF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F171C8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. Příjemce je povinen zajistit udržení investice …. </w:t>
      </w:r>
      <w:proofErr w:type="gramStart"/>
      <w:r w:rsidRPr="00EF7301">
        <w:rPr>
          <w:rFonts w:cs="Arial"/>
          <w:szCs w:val="24"/>
        </w:rPr>
        <w:t>po</w:t>
      </w:r>
      <w:proofErr w:type="gramEnd"/>
      <w:r w:rsidRPr="00EF7301">
        <w:rPr>
          <w:rFonts w:cs="Arial"/>
          <w:szCs w:val="24"/>
        </w:rPr>
        <w:t xml:space="preserve">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Vedení účetnictví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>smyslu § 11 zákona č. 563/1991 Sb., (s výjimkou bodu f) zákona) a aby předmětné doklady 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lastRenderedPageBreak/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Příjemce je dále povinen dodržet pravidla NP </w:t>
      </w:r>
      <w:r>
        <w:rPr>
          <w:sz w:val="22"/>
        </w:rPr>
        <w:t>AMIF/ISF</w:t>
      </w:r>
      <w:r w:rsidRPr="00EF7301">
        <w:rPr>
          <w:sz w:val="22"/>
        </w:rPr>
        <w:t xml:space="preserve"> upravující oznamování změn týkajících se projektu.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Zákaz čerpání jiných podpor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Vypořádání projektu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vyhláškou č. </w:t>
      </w:r>
      <w:r>
        <w:rPr>
          <w:rFonts w:cs="Arial"/>
          <w:szCs w:val="24"/>
        </w:rPr>
        <w:t>367</w:t>
      </w:r>
      <w:r w:rsidRPr="00EF7301">
        <w:rPr>
          <w:rFonts w:cs="Arial"/>
          <w:szCs w:val="24"/>
        </w:rPr>
        <w:t>/</w:t>
      </w:r>
      <w:r>
        <w:rPr>
          <w:rFonts w:cs="Arial"/>
          <w:szCs w:val="24"/>
        </w:rPr>
        <w:t>2015</w:t>
      </w:r>
      <w:r w:rsidRPr="00EF7301">
        <w:rPr>
          <w:rFonts w:cs="Arial"/>
          <w:szCs w:val="24"/>
        </w:rPr>
        <w:t xml:space="preserve"> Sb., </w:t>
      </w:r>
      <w:r w:rsidRPr="0084238E">
        <w:rPr>
          <w:rFonts w:cs="Arial"/>
        </w:rPr>
        <w:t>o zásadách a lhůtách finančního vypořádání vztahů se státním rozpočtem, státními finančními aktivy a Národním fondem (vyhláška o finančním vypořádání)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>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Péče o majetek </w:t>
      </w:r>
    </w:p>
    <w:p w:rsidR="00F171C8" w:rsidRPr="00EF7301" w:rsidRDefault="00F171C8" w:rsidP="00F171C8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podpory s péčí řádného hospodáře, zejména jej zabezpečit proti poškození, ztrátě nebo odcizení </w:t>
      </w:r>
      <w:r w:rsidRPr="00EF7301">
        <w:rPr>
          <w:iCs/>
          <w:sz w:val="22"/>
        </w:rPr>
        <w:lastRenderedPageBreak/>
        <w:t>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Práva duševního vlastnictví</w:t>
      </w:r>
    </w:p>
    <w:p w:rsidR="00F171C8" w:rsidRPr="00EF7301" w:rsidRDefault="00F171C8" w:rsidP="00F171C8">
      <w:pPr>
        <w:pStyle w:val="slovanseznam"/>
        <w:spacing w:after="240" w:line="240" w:lineRule="auto"/>
        <w:rPr>
          <w:b/>
          <w:sz w:val="22"/>
        </w:rPr>
      </w:pPr>
      <w:r w:rsidRPr="00EF7301">
        <w:rPr>
          <w:iCs/>
          <w:sz w:val="22"/>
        </w:rPr>
        <w:t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</w:t>
      </w:r>
      <w:r>
        <w:rPr>
          <w:iCs/>
          <w:sz w:val="22"/>
        </w:rPr>
        <w:t> </w:t>
      </w:r>
      <w:r w:rsidRPr="00EF7301">
        <w:rPr>
          <w:iCs/>
          <w:sz w:val="22"/>
        </w:rPr>
        <w:t xml:space="preserve">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Partnerství</w:t>
      </w:r>
      <w:r w:rsidRPr="00EF7301">
        <w:rPr>
          <w:bCs/>
          <w:sz w:val="22"/>
          <w:vertAlign w:val="superscript"/>
        </w:rPr>
        <w:footnoteReference w:id="4"/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zajistit, aby vztahy mezi příjemcem a jeho partnery, jejichž</w:t>
      </w:r>
      <w:r>
        <w:rPr>
          <w:sz w:val="22"/>
        </w:rPr>
        <w:t> </w:t>
      </w:r>
      <w:r w:rsidRPr="00EF7301">
        <w:rPr>
          <w:sz w:val="22"/>
        </w:rPr>
        <w:t xml:space="preserve">seznam je součástí Žádosti o podporu v 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Podmínek, po celou dobu realizace projektu odpovídaly pravidlům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odpovídá za splnění všech povinností. Pokud některý z partnerů poruší některou z povinností, odpovídá příjemce podpory podle části IV těchto Podmínek, jakoby</w:t>
      </w:r>
      <w:r>
        <w:rPr>
          <w:sz w:val="22"/>
        </w:rPr>
        <w:t> </w:t>
      </w:r>
      <w:r w:rsidRPr="00EF7301">
        <w:rPr>
          <w:sz w:val="22"/>
        </w:rPr>
        <w:t>tuto povinnost porušil sám.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F171C8" w:rsidRPr="00EF7301" w:rsidRDefault="00F171C8" w:rsidP="00F171C8">
      <w:pPr>
        <w:spacing w:before="36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III</w:t>
      </w:r>
    </w:p>
    <w:p w:rsidR="00F171C8" w:rsidRPr="00EF7301" w:rsidRDefault="00F171C8" w:rsidP="00F171C8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F171C8" w:rsidRPr="00EF7301" w:rsidRDefault="00F171C8" w:rsidP="00F171C8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Cílovými skupinami projektu mohou být pouze: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Podmínky monitorování projektu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lastRenderedPageBreak/>
        <w:t xml:space="preserve">Příjemce podpory je povinen naplnit celkové cílové hodnoty monitorovacích ukazatelů uvedených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Podmínek; definice monitorovacích ukazatelů je obsažena v pravidlech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F171C8" w:rsidRPr="00EF7301" w:rsidRDefault="00F171C8" w:rsidP="00F171C8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u jednotlivých ukazatelů výstupů a vydělí se počtem těchto ukazatelů. Pokud nebyla vyčerpána celková maximální výše podpory, snižují se cílové hodnoty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F171C8" w:rsidRPr="00EF7301" w:rsidRDefault="00F171C8" w:rsidP="00F171C8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F171C8" w:rsidRPr="00EF7301" w:rsidRDefault="00F171C8" w:rsidP="00F171C8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…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Veřejná podpora a podpora de </w:t>
      </w:r>
      <w:proofErr w:type="spellStart"/>
      <w:r w:rsidRPr="00EF7301">
        <w:rPr>
          <w:b/>
          <w:bCs/>
          <w:sz w:val="22"/>
        </w:rPr>
        <w:t>minimis</w:t>
      </w:r>
      <w:proofErr w:type="spellEnd"/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F171C8" w:rsidRPr="00EF7301" w:rsidRDefault="00F171C8" w:rsidP="00F171C8">
      <w:pPr>
        <w:spacing w:before="36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IV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F171C8" w:rsidRPr="00EF7301" w:rsidRDefault="00F171C8" w:rsidP="00F171C8">
      <w:pPr>
        <w:pStyle w:val="slovanseznam"/>
        <w:numPr>
          <w:ilvl w:val="0"/>
          <w:numId w:val="1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Žádost o platbu </w:t>
      </w:r>
    </w:p>
    <w:p w:rsidR="00F171C8" w:rsidRPr="00EF7301" w:rsidRDefault="00F171C8" w:rsidP="00F171C8">
      <w:pPr>
        <w:pStyle w:val="slovanseznam"/>
        <w:numPr>
          <w:ilvl w:val="1"/>
          <w:numId w:val="17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. </w:t>
      </w:r>
    </w:p>
    <w:p w:rsidR="00F171C8" w:rsidRPr="00EF7301" w:rsidRDefault="00F171C8" w:rsidP="00F171C8">
      <w:pPr>
        <w:pStyle w:val="slovanseznam"/>
        <w:numPr>
          <w:ilvl w:val="1"/>
          <w:numId w:val="17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F171C8" w:rsidRPr="00EF7301" w:rsidRDefault="00F171C8" w:rsidP="00F171C8">
      <w:pPr>
        <w:pStyle w:val="slovanseznam"/>
        <w:numPr>
          <w:ilvl w:val="0"/>
          <w:numId w:val="1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>Nepřímé náklady</w:t>
      </w:r>
    </w:p>
    <w:p w:rsidR="00F171C8" w:rsidRPr="00EF7301" w:rsidRDefault="00F171C8" w:rsidP="00F171C8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platné pro projekt: […] %</w:t>
      </w:r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F171C8" w:rsidRPr="00EF7301" w:rsidRDefault="00F171C8" w:rsidP="00F171C8">
      <w:pPr>
        <w:spacing w:before="36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F171C8" w:rsidRPr="00EF7301" w:rsidRDefault="00F171C8" w:rsidP="00F171C8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AMIF/ISF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 a v pravidlech NP </w:t>
      </w:r>
      <w:r>
        <w:rPr>
          <w:szCs w:val="24"/>
        </w:rPr>
        <w:t>AMIF/ISF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vypořádání projektu v souladu s rozpočtovými pravidly a vyhláškou č. </w:t>
      </w:r>
      <w:r>
        <w:t>367</w:t>
      </w:r>
      <w:r w:rsidRPr="00872288">
        <w:t>/</w:t>
      </w:r>
      <w:r>
        <w:t>2015</w:t>
      </w:r>
      <w:r w:rsidRPr="00872288">
        <w:t xml:space="preserve"> Sb., </w:t>
      </w:r>
      <w:r w:rsidRPr="00FC791D">
        <w:t>o zásadách a lhůtách finančního vypořádání vztahů se státním rozpočtem, státními finančními aktivy a Národním fondem</w:t>
      </w:r>
      <w:r>
        <w:t xml:space="preserve">, </w:t>
      </w:r>
      <w:r w:rsidRPr="00FC791D">
        <w:t>vyhláška o</w:t>
      </w:r>
      <w:r>
        <w:t> </w:t>
      </w:r>
      <w:r w:rsidRPr="00FC791D">
        <w:t>finančním vypořádá</w:t>
      </w:r>
      <w:r w:rsidRPr="00EF7301" w:rsidDel="00AC6C3F">
        <w:rPr>
          <w:szCs w:val="24"/>
        </w:rPr>
        <w:t xml:space="preserve"> </w:t>
      </w:r>
      <w:r w:rsidRPr="00EF7301">
        <w:rPr>
          <w:szCs w:val="24"/>
        </w:rPr>
        <w:t>(uvedených v části II bodě 12);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povinnosti týkající se práv duševního vlastnictví (uvedených v části II bodě 15);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>dojde k porušení povinností týkajících se partnerství (uvedených v části II bodech 16.1 a</w:t>
      </w:r>
      <w:r>
        <w:rPr>
          <w:szCs w:val="24"/>
        </w:rPr>
        <w:t> </w:t>
      </w:r>
      <w:r w:rsidRPr="00EF7301">
        <w:rPr>
          <w:szCs w:val="24"/>
        </w:rPr>
        <w:t>16.3);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F171C8" w:rsidRPr="00EF7301" w:rsidRDefault="00F171C8" w:rsidP="00F171C8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</w:t>
      </w:r>
      <w:r>
        <w:rPr>
          <w:sz w:val="22"/>
        </w:rPr>
        <w:t>8</w:t>
      </w:r>
      <w:r w:rsidRPr="00EF7301">
        <w:rPr>
          <w:sz w:val="22"/>
        </w:rPr>
        <w:t xml:space="preserve">), jež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F171C8" w:rsidRPr="00EF7301" w:rsidTr="00C23441">
        <w:tc>
          <w:tcPr>
            <w:tcW w:w="4536" w:type="dxa"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F171C8" w:rsidRPr="00EF7301" w:rsidRDefault="00F171C8" w:rsidP="00F171C8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AMIF/ISF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trvat méně než 7 kalendářních dní, přičemž za určující se bere termín vyplývající z těchto Podmínek ve znění případného vyjádření MV o změně termínu;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AMIF/ISF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zadávání zakázek (uvedených v části II bodě 6.1), jež dle pravidel NP </w:t>
      </w:r>
      <w:r>
        <w:rPr>
          <w:szCs w:val="24"/>
        </w:rPr>
        <w:t>AMIF/ISF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AMIF/ISF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F171C8" w:rsidRPr="00BD18B0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příloze </w:t>
      </w:r>
      <w:proofErr w:type="gramStart"/>
      <w:r w:rsidRPr="00BD18B0">
        <w:t>č. 1 těchto</w:t>
      </w:r>
      <w:proofErr w:type="gramEnd"/>
      <w:r w:rsidRPr="00BD18B0">
        <w:t xml:space="preserve"> Podmínek z 85 % nebo více,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nedodržení finančního plánu projektu obsaženého v Příloze </w:t>
      </w:r>
      <w:proofErr w:type="gramStart"/>
      <w:r w:rsidRPr="00EF7301">
        <w:rPr>
          <w:szCs w:val="24"/>
        </w:rPr>
        <w:t>č. 1 těchto</w:t>
      </w:r>
      <w:proofErr w:type="gramEnd"/>
      <w:r w:rsidRPr="00EF7301">
        <w:rPr>
          <w:szCs w:val="24"/>
        </w:rPr>
        <w:t xml:space="preserve"> Podmínek, příp. upraveného v režimu nepodstatných změn projektu,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F171C8" w:rsidRPr="00EF7301" w:rsidRDefault="00F171C8" w:rsidP="00F171C8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F171C8" w:rsidRPr="00EF7301" w:rsidRDefault="00F171C8" w:rsidP="00F171C8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Část VI</w:t>
      </w:r>
    </w:p>
    <w:p w:rsidR="00F171C8" w:rsidRPr="00EF7301" w:rsidRDefault="00F171C8" w:rsidP="00F171C8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F171C8" w:rsidRPr="00EF7301" w:rsidRDefault="00F171C8" w:rsidP="00F171C8">
      <w:pPr>
        <w:numPr>
          <w:ilvl w:val="0"/>
          <w:numId w:val="19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F171C8" w:rsidRPr="00EF7301" w:rsidRDefault="00F171C8" w:rsidP="00F171C8">
      <w:pPr>
        <w:pStyle w:val="slovanseznam"/>
        <w:numPr>
          <w:ilvl w:val="1"/>
          <w:numId w:val="20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MV pověřuje příjemce, jakožto zpracovatele, ke zpracování osobních údajů, včetně citlivých údajů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>efektivního nakládání s prostředky Azylového, migračního a integračního fondu</w:t>
      </w:r>
      <w:r>
        <w:rPr>
          <w:rFonts w:eastAsia="Calibri"/>
          <w:sz w:val="22"/>
        </w:rPr>
        <w:t>/</w:t>
      </w:r>
      <w:r w:rsidRPr="00EF7301">
        <w:rPr>
          <w:rFonts w:eastAsia="Calibri"/>
          <w:sz w:val="22"/>
        </w:rPr>
        <w:t>Fondu pro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vnitřní bezpečnost, které byly na realizaci projektu poskytnuty z NP </w:t>
      </w:r>
      <w:r>
        <w:rPr>
          <w:rFonts w:eastAsia="Calibri"/>
          <w:sz w:val="22"/>
        </w:rPr>
        <w:t>AMIF/ISF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F171C8" w:rsidRPr="00EF7301" w:rsidRDefault="00F171C8" w:rsidP="00F171C8">
      <w:pPr>
        <w:pStyle w:val="slovanseznam"/>
        <w:numPr>
          <w:ilvl w:val="1"/>
          <w:numId w:val="20"/>
        </w:numPr>
        <w:spacing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>Poskytovatel je jakožto správce podle § 4 písm. f) zákona č. 101/2000 Sb., o ochraně osobních údajů a o změně některých zákonů oprávněn zpracovávat osobní údaje podpořených osob na základě nařízení …</w:t>
      </w:r>
      <w:proofErr w:type="gramStart"/>
      <w:r w:rsidRPr="00EF7301">
        <w:rPr>
          <w:rFonts w:eastAsia="Calibri"/>
          <w:sz w:val="22"/>
        </w:rPr>
        <w:t>…...</w:t>
      </w:r>
      <w:proofErr w:type="gramEnd"/>
    </w:p>
    <w:p w:rsidR="00F171C8" w:rsidRPr="00EF7301" w:rsidRDefault="00F171C8" w:rsidP="00F171C8">
      <w:pPr>
        <w:numPr>
          <w:ilvl w:val="0"/>
          <w:numId w:val="19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F171C8" w:rsidRPr="00EF7301" w:rsidRDefault="00F171C8" w:rsidP="00F171C8">
      <w:pPr>
        <w:numPr>
          <w:ilvl w:val="1"/>
          <w:numId w:val="19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podpořené osoby v rozsahu vymezeném v pravidlech NP AMIF/ISF.</w:t>
      </w:r>
    </w:p>
    <w:p w:rsidR="00F171C8" w:rsidRPr="00EF7301" w:rsidRDefault="00F171C8" w:rsidP="00F171C8">
      <w:pPr>
        <w:numPr>
          <w:ilvl w:val="1"/>
          <w:numId w:val="19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  <w:bookmarkStart w:id="0" w:name="_GoBack"/>
      <w:bookmarkEnd w:id="0"/>
    </w:p>
    <w:p w:rsidR="00F171C8" w:rsidRPr="00EF7301" w:rsidRDefault="00F171C8" w:rsidP="00F171C8">
      <w:pPr>
        <w:numPr>
          <w:ilvl w:val="0"/>
          <w:numId w:val="19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F171C8" w:rsidRPr="00EF7301" w:rsidRDefault="00F171C8" w:rsidP="00F171C8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Příjemce je povinen zpracovávat a chránit osobní údaje v souladu se zákonem o ochraně osobních údajů a to zejména takto:</w:t>
      </w:r>
    </w:p>
    <w:p w:rsidR="00F171C8" w:rsidRPr="00EF7301" w:rsidRDefault="00F171C8" w:rsidP="00F171C8">
      <w:pPr>
        <w:numPr>
          <w:ilvl w:val="0"/>
          <w:numId w:val="21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 xml:space="preserve">osobní údaje ve fyzické podobě, tj. listinné údaje či na nosičích dat, budou uchovávány v uzamykatelných schránkách, a to po dobu uvedenou v bodě 4 </w:t>
      </w:r>
      <w:proofErr w:type="gramStart"/>
      <w:r w:rsidRPr="00EF7301">
        <w:rPr>
          <w:rFonts w:eastAsia="Calibri" w:cs="Arial"/>
          <w:szCs w:val="24"/>
        </w:rPr>
        <w:t>této</w:t>
      </w:r>
      <w:proofErr w:type="gramEnd"/>
      <w:r w:rsidRPr="00EF7301">
        <w:rPr>
          <w:rFonts w:eastAsia="Calibri" w:cs="Arial"/>
          <w:szCs w:val="24"/>
        </w:rPr>
        <w:t xml:space="preserve"> části těchto Podmínek; </w:t>
      </w:r>
    </w:p>
    <w:p w:rsidR="00F171C8" w:rsidRPr="00EF7301" w:rsidRDefault="00F171C8" w:rsidP="00F171C8">
      <w:pPr>
        <w:numPr>
          <w:ilvl w:val="0"/>
          <w:numId w:val="21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přístup ke zpracovávaným osobním údajům umožní příjemce pouze MV, svým zaměstnancům a orgánům oprávněným provádět kontrolu podle části II bodu 7 těchto Podmínek, ledaže je dále upraveno jinak;</w:t>
      </w:r>
    </w:p>
    <w:p w:rsidR="00F171C8" w:rsidRPr="00EF7301" w:rsidRDefault="00F171C8" w:rsidP="00F171C8">
      <w:pPr>
        <w:numPr>
          <w:ilvl w:val="0"/>
          <w:numId w:val="21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F171C8" w:rsidRPr="00EF7301" w:rsidRDefault="00F171C8" w:rsidP="00F171C8">
      <w:pPr>
        <w:numPr>
          <w:ilvl w:val="0"/>
          <w:numId w:val="19"/>
        </w:numPr>
        <w:spacing w:before="36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F171C8" w:rsidRPr="00EF7301" w:rsidRDefault="00F171C8" w:rsidP="00F171C8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F171C8" w:rsidRPr="00EF7301" w:rsidRDefault="00F171C8" w:rsidP="00F171C8">
      <w:pPr>
        <w:numPr>
          <w:ilvl w:val="0"/>
          <w:numId w:val="19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lastRenderedPageBreak/>
        <w:t>Zpracování jiných osobních údajů podpořených osob</w:t>
      </w:r>
    </w:p>
    <w:p w:rsidR="00F171C8" w:rsidRPr="00EF7301" w:rsidRDefault="00F171C8" w:rsidP="00F171C8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AMIF/ISF, vztahují se na jejich zpracování podmínky části VI těchto Podmínek obdobně. </w:t>
      </w:r>
    </w:p>
    <w:p w:rsidR="00F171C8" w:rsidRPr="00EF7301" w:rsidRDefault="00F171C8" w:rsidP="00F171C8">
      <w:pPr>
        <w:numPr>
          <w:ilvl w:val="0"/>
          <w:numId w:val="19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F171C8" w:rsidRPr="00EF7301" w:rsidRDefault="00F171C8" w:rsidP="00F171C8">
      <w:pPr>
        <w:numPr>
          <w:ilvl w:val="1"/>
          <w:numId w:val="19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F171C8" w:rsidRPr="00EF7301" w:rsidRDefault="00F171C8" w:rsidP="00F171C8">
      <w:pPr>
        <w:numPr>
          <w:ilvl w:val="1"/>
          <w:numId w:val="19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Smlouvy uzavírané podle § 14 zákona o ochraně osobních údajů s partnerem, resp.</w:t>
      </w:r>
      <w:r>
        <w:rPr>
          <w:rFonts w:eastAsia="Calibri" w:cs="Arial"/>
          <w:szCs w:val="24"/>
        </w:rPr>
        <w:t> </w:t>
      </w:r>
      <w:r w:rsidRPr="00EF7301">
        <w:rPr>
          <w:rFonts w:eastAsia="Calibri" w:cs="Arial"/>
          <w:szCs w:val="24"/>
        </w:rPr>
        <w:t xml:space="preserve">s dodavatelem musí upravovat podmínky zpracování osobních údajů obdobně jako podmínky stanovené v pověření příjemce v této části těchto Podmínek. </w:t>
      </w:r>
    </w:p>
    <w:p w:rsidR="00F171C8" w:rsidRPr="00EF7301" w:rsidRDefault="00F171C8" w:rsidP="00F171C8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AMIF/ISF.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 </w:t>
      </w:r>
      <w:r>
        <w:rPr>
          <w:iCs/>
          <w:snapToGrid w:val="0"/>
          <w:sz w:val="22"/>
        </w:rPr>
        <w:t>elektronické</w:t>
      </w:r>
      <w:r w:rsidRPr="00EF7301">
        <w:rPr>
          <w:iCs/>
          <w:snapToGrid w:val="0"/>
          <w:sz w:val="22"/>
        </w:rPr>
        <w:t xml:space="preserve"> podobě.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3 </w:t>
      </w:r>
      <w:proofErr w:type="gramStart"/>
      <w:r w:rsidRPr="00EF7301">
        <w:rPr>
          <w:iCs/>
          <w:snapToGrid w:val="0"/>
          <w:sz w:val="22"/>
        </w:rPr>
        <w:t>této</w:t>
      </w:r>
      <w:proofErr w:type="gramEnd"/>
      <w:r w:rsidRPr="00EF7301">
        <w:rPr>
          <w:iCs/>
          <w:snapToGrid w:val="0"/>
          <w:sz w:val="22"/>
        </w:rPr>
        <w:t xml:space="preserve"> části Podmínek a dále dokumenty, které jsou zmíněny v části II bodě 1 těchto Podmínek.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F171C8" w:rsidRDefault="00F171C8" w:rsidP="00F171C8">
      <w:pPr>
        <w:pStyle w:val="slovanseznam"/>
        <w:numPr>
          <w:ilvl w:val="0"/>
          <w:numId w:val="11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EF756D" w:rsidRPr="00EF7301" w:rsidRDefault="00EF756D" w:rsidP="00F171C8">
      <w:pPr>
        <w:pStyle w:val="slovanseznam"/>
        <w:numPr>
          <w:ilvl w:val="0"/>
          <w:numId w:val="11"/>
        </w:numPr>
        <w:spacing w:after="60" w:line="240" w:lineRule="auto"/>
        <w:rPr>
          <w:iCs/>
          <w:snapToGrid w:val="0"/>
          <w:sz w:val="22"/>
        </w:rPr>
      </w:pPr>
      <w:r>
        <w:rPr>
          <w:iCs/>
          <w:snapToGrid w:val="0"/>
          <w:sz w:val="22"/>
        </w:rPr>
        <w:t>Příloha č. 2 – Rozpočet projektu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AMIF/ISF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AMIF/ISF</w:t>
      </w:r>
      <w:r w:rsidRPr="00EF7301">
        <w:rPr>
          <w:sz w:val="22"/>
        </w:rPr>
        <w:t xml:space="preserve">. </w:t>
      </w:r>
    </w:p>
    <w:p w:rsidR="00F171C8" w:rsidRPr="00EF7301" w:rsidRDefault="00F171C8" w:rsidP="00F171C8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V Praze, dne ………………</w:t>
      </w:r>
    </w:p>
    <w:p w:rsidR="00F171C8" w:rsidRPr="00EF7301" w:rsidRDefault="00F171C8" w:rsidP="00F171C8">
      <w:pPr>
        <w:spacing w:line="240" w:lineRule="auto"/>
        <w:rPr>
          <w:rFonts w:cs="Arial"/>
          <w:i/>
          <w:szCs w:val="24"/>
          <w:lang w:val="en-US"/>
        </w:rPr>
      </w:pPr>
    </w:p>
    <w:p w:rsidR="00F171C8" w:rsidRPr="00EF7301" w:rsidRDefault="00F171C8" w:rsidP="00F171C8">
      <w:pPr>
        <w:spacing w:line="240" w:lineRule="auto"/>
        <w:ind w:left="4248" w:firstLine="708"/>
        <w:rPr>
          <w:rFonts w:cs="Arial"/>
          <w:szCs w:val="24"/>
        </w:rPr>
      </w:pPr>
      <w:r w:rsidRPr="00EF7301">
        <w:rPr>
          <w:rFonts w:cs="Arial"/>
          <w:szCs w:val="24"/>
        </w:rPr>
        <w:t>…………………………………………………………..</w:t>
      </w:r>
    </w:p>
    <w:p w:rsidR="00F45CA7" w:rsidRDefault="00F171C8" w:rsidP="00F171C8">
      <w:r w:rsidRPr="00EF7301">
        <w:rPr>
          <w:rFonts w:cs="Arial"/>
          <w:szCs w:val="24"/>
        </w:rPr>
        <w:t>(podpis osoby oprávněné vydat rozhodnutí a uvedení jejího jména a funkce)</w:t>
      </w:r>
    </w:p>
    <w:sectPr w:rsidR="00F4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26" w:rsidRDefault="00E94026" w:rsidP="00F171C8">
      <w:pPr>
        <w:spacing w:after="0" w:line="240" w:lineRule="auto"/>
      </w:pPr>
      <w:r>
        <w:separator/>
      </w:r>
    </w:p>
  </w:endnote>
  <w:endnote w:type="continuationSeparator" w:id="0">
    <w:p w:rsidR="00E94026" w:rsidRDefault="00E94026" w:rsidP="00F1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26" w:rsidRDefault="00E94026" w:rsidP="00F171C8">
      <w:pPr>
        <w:spacing w:after="0" w:line="240" w:lineRule="auto"/>
      </w:pPr>
      <w:r>
        <w:separator/>
      </w:r>
    </w:p>
  </w:footnote>
  <w:footnote w:type="continuationSeparator" w:id="0">
    <w:p w:rsidR="00E94026" w:rsidRDefault="00E94026" w:rsidP="00F171C8">
      <w:pPr>
        <w:spacing w:after="0" w:line="240" w:lineRule="auto"/>
      </w:pPr>
      <w:r>
        <w:continuationSeparator/>
      </w:r>
    </w:p>
  </w:footnote>
  <w:footnote w:id="1">
    <w:p w:rsidR="00F171C8" w:rsidRPr="00715F68" w:rsidRDefault="00F171C8" w:rsidP="00F171C8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F171C8" w:rsidRDefault="00F171C8" w:rsidP="00F171C8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F171C8" w:rsidRPr="00B524F1" w:rsidRDefault="00F171C8" w:rsidP="00F171C8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F171C8" w:rsidRPr="002650D6" w:rsidRDefault="00F171C8" w:rsidP="00F171C8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F171C8" w:rsidRPr="002650D6" w:rsidRDefault="00F171C8" w:rsidP="00F171C8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F171C8" w:rsidRDefault="00F171C8" w:rsidP="00F171C8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9B5B17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394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3F2C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83A24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27046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9">
    <w:nsid w:val="2B5059FA"/>
    <w:multiLevelType w:val="multilevel"/>
    <w:tmpl w:val="0068063E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ty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C037B02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E679CB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57255C5C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D517DF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96565F0"/>
    <w:multiLevelType w:val="multilevel"/>
    <w:tmpl w:val="4714181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18"/>
  </w:num>
  <w:num w:numId="17">
    <w:abstractNumId w:val="11"/>
  </w:num>
  <w:num w:numId="18">
    <w:abstractNumId w:val="13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8"/>
    <w:rsid w:val="00BD3C88"/>
    <w:rsid w:val="00E94026"/>
    <w:rsid w:val="00EF756D"/>
    <w:rsid w:val="00F171C8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171C8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F17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F171C8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F171C8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F171C8"/>
    <w:rPr>
      <w:lang w:eastAsia="cs-CZ"/>
    </w:rPr>
  </w:style>
  <w:style w:type="paragraph" w:styleId="Zkladntext">
    <w:name w:val="Body Text"/>
    <w:basedOn w:val="Normln"/>
    <w:link w:val="ZkladntextChar"/>
    <w:rsid w:val="00F171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71C8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171C8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171C8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171C8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171C8"/>
    <w:rPr>
      <w:vertAlign w:val="superscript"/>
    </w:rPr>
  </w:style>
  <w:style w:type="paragraph" w:styleId="slovanseznam">
    <w:name w:val="List Number"/>
    <w:basedOn w:val="Normln"/>
    <w:rsid w:val="00F171C8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F171C8"/>
    <w:pPr>
      <w:numPr>
        <w:numId w:val="4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F171C8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F171C8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F171C8"/>
  </w:style>
  <w:style w:type="paragraph" w:customStyle="1" w:styleId="Odrky4">
    <w:name w:val="Odrážky 4"/>
    <w:basedOn w:val="Odrky3"/>
    <w:uiPriority w:val="5"/>
    <w:rsid w:val="00F171C8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F171C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171C8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171C8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F17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F171C8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F171C8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F171C8"/>
    <w:rPr>
      <w:lang w:eastAsia="cs-CZ"/>
    </w:rPr>
  </w:style>
  <w:style w:type="paragraph" w:styleId="Zkladntext">
    <w:name w:val="Body Text"/>
    <w:basedOn w:val="Normln"/>
    <w:link w:val="ZkladntextChar"/>
    <w:rsid w:val="00F171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71C8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171C8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171C8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171C8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171C8"/>
    <w:rPr>
      <w:vertAlign w:val="superscript"/>
    </w:rPr>
  </w:style>
  <w:style w:type="paragraph" w:styleId="slovanseznam">
    <w:name w:val="List Number"/>
    <w:basedOn w:val="Normln"/>
    <w:rsid w:val="00F171C8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F171C8"/>
    <w:pPr>
      <w:numPr>
        <w:numId w:val="4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F171C8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F171C8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F171C8"/>
  </w:style>
  <w:style w:type="paragraph" w:customStyle="1" w:styleId="Odrky4">
    <w:name w:val="Odrážky 4"/>
    <w:basedOn w:val="Odrky3"/>
    <w:uiPriority w:val="5"/>
    <w:rsid w:val="00F171C8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F171C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171C8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3557</Words>
  <Characters>20989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Houda</dc:creator>
  <cp:lastModifiedBy>Ondřej Houda</cp:lastModifiedBy>
  <cp:revision>2</cp:revision>
  <dcterms:created xsi:type="dcterms:W3CDTF">2017-12-20T16:52:00Z</dcterms:created>
  <dcterms:modified xsi:type="dcterms:W3CDTF">2017-12-21T09:51:00Z</dcterms:modified>
</cp:coreProperties>
</file>