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70" w:rsidRDefault="006702F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Informace o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viktimologické</w:t>
      </w:r>
      <w:r w:rsidR="00FC5B62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proofErr w:type="spellEnd"/>
      <w:r w:rsidR="00295AB1">
        <w:rPr>
          <w:rFonts w:ascii="Times New Roman" w:hAnsi="Times New Roman" w:cs="Times New Roman"/>
          <w:b/>
          <w:sz w:val="24"/>
          <w:szCs w:val="24"/>
          <w:u w:val="single"/>
        </w:rPr>
        <w:t xml:space="preserve"> výzkum</w:t>
      </w:r>
      <w:r w:rsidR="00FC5B62">
        <w:rPr>
          <w:rFonts w:ascii="Times New Roman" w:hAnsi="Times New Roman" w:cs="Times New Roman"/>
          <w:b/>
          <w:sz w:val="24"/>
          <w:szCs w:val="24"/>
          <w:u w:val="single"/>
        </w:rPr>
        <w:t>u realizovaném IKSP</w:t>
      </w:r>
      <w:r w:rsidR="00C34B0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C5B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415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200CC" w:rsidRDefault="004200CC">
      <w:pPr>
        <w:rPr>
          <w:rFonts w:ascii="Times New Roman" w:hAnsi="Times New Roman" w:cs="Times New Roman"/>
          <w:sz w:val="24"/>
          <w:szCs w:val="24"/>
        </w:rPr>
      </w:pPr>
      <w:r w:rsidRPr="004200CC">
        <w:rPr>
          <w:rFonts w:ascii="Times New Roman" w:hAnsi="Times New Roman" w:cs="Times New Roman"/>
          <w:sz w:val="24"/>
          <w:szCs w:val="24"/>
        </w:rPr>
        <w:t xml:space="preserve">Milada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200CC">
        <w:rPr>
          <w:rFonts w:ascii="Times New Roman" w:hAnsi="Times New Roman" w:cs="Times New Roman"/>
          <w:sz w:val="24"/>
          <w:szCs w:val="24"/>
        </w:rPr>
        <w:t>artinková, Ins</w:t>
      </w:r>
      <w:r w:rsidR="00311BB3">
        <w:rPr>
          <w:rFonts w:ascii="Times New Roman" w:hAnsi="Times New Roman" w:cs="Times New Roman"/>
          <w:sz w:val="24"/>
          <w:szCs w:val="24"/>
        </w:rPr>
        <w:t>titut</w:t>
      </w:r>
      <w:r w:rsidRPr="00420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200CC">
        <w:rPr>
          <w:rFonts w:ascii="Times New Roman" w:hAnsi="Times New Roman" w:cs="Times New Roman"/>
          <w:sz w:val="24"/>
          <w:szCs w:val="24"/>
        </w:rPr>
        <w:t>ro kriminologii a sociální prevenci, Praha</w:t>
      </w:r>
    </w:p>
    <w:p w:rsidR="000A24C6" w:rsidRPr="004200CC" w:rsidRDefault="000A24C6">
      <w:pPr>
        <w:rPr>
          <w:rFonts w:ascii="Times New Roman" w:hAnsi="Times New Roman" w:cs="Times New Roman"/>
          <w:sz w:val="24"/>
          <w:szCs w:val="24"/>
        </w:rPr>
      </w:pPr>
    </w:p>
    <w:p w:rsidR="00C5552C" w:rsidRPr="00E21C6A" w:rsidRDefault="00E21C6A" w:rsidP="00577131">
      <w:pPr>
        <w:pStyle w:val="Zkladntext"/>
      </w:pPr>
      <w:r>
        <w:sym w:font="Symbol" w:char="F0B7"/>
      </w:r>
      <w:r>
        <w:t xml:space="preserve">  </w:t>
      </w:r>
      <w:r w:rsidR="0019622D">
        <w:t>Referát seznámí s některými poznatky z</w:t>
      </w:r>
      <w:r w:rsidR="00953513">
        <w:t> </w:t>
      </w:r>
      <w:r w:rsidR="0097060F" w:rsidRPr="00D76C7E">
        <w:t>výzkum</w:t>
      </w:r>
      <w:r w:rsidR="0019622D">
        <w:t>u</w:t>
      </w:r>
      <w:r w:rsidR="00953513">
        <w:t xml:space="preserve"> realizovaného </w:t>
      </w:r>
      <w:r w:rsidR="00BB70BC">
        <w:t xml:space="preserve">v </w:t>
      </w:r>
      <w:r w:rsidR="000018E9">
        <w:t xml:space="preserve">IKSP </w:t>
      </w:r>
      <w:r w:rsidR="00372D9E">
        <w:t xml:space="preserve">koncem </w:t>
      </w:r>
      <w:r w:rsidR="00953513">
        <w:t>ro</w:t>
      </w:r>
      <w:r w:rsidR="00372D9E">
        <w:t>ku</w:t>
      </w:r>
      <w:r w:rsidR="00953513">
        <w:t xml:space="preserve"> 2013</w:t>
      </w:r>
      <w:r w:rsidR="00C653D3">
        <w:t>, který</w:t>
      </w:r>
      <w:r w:rsidR="00484EAE">
        <w:t xml:space="preserve"> </w:t>
      </w:r>
      <w:r w:rsidR="0019622D">
        <w:t xml:space="preserve">byl </w:t>
      </w:r>
      <w:r w:rsidR="008B621E" w:rsidRPr="00D76C7E">
        <w:t>orientov</w:t>
      </w:r>
      <w:r w:rsidR="00311BB3">
        <w:t>án</w:t>
      </w:r>
      <w:r w:rsidR="00720E6F" w:rsidRPr="00D76C7E">
        <w:t xml:space="preserve"> </w:t>
      </w:r>
      <w:r w:rsidR="0072074C">
        <w:t xml:space="preserve">na </w:t>
      </w:r>
      <w:bookmarkStart w:id="0" w:name="_GoBack"/>
      <w:bookmarkEnd w:id="0"/>
      <w:r w:rsidR="00295AB1">
        <w:t xml:space="preserve">výpovědi </w:t>
      </w:r>
      <w:r w:rsidR="00372D9E">
        <w:t xml:space="preserve">reprezentativního souboru </w:t>
      </w:r>
      <w:r w:rsidR="0019622D">
        <w:t>osob</w:t>
      </w:r>
      <w:r w:rsidR="00295AB1">
        <w:t xml:space="preserve"> </w:t>
      </w:r>
      <w:r w:rsidR="00484EAE">
        <w:t xml:space="preserve">z celé ČR </w:t>
      </w:r>
      <w:r w:rsidR="0019622D">
        <w:t>o </w:t>
      </w:r>
      <w:r w:rsidR="009E604B">
        <w:t xml:space="preserve">jejich </w:t>
      </w:r>
      <w:r w:rsidR="00E619A1">
        <w:t xml:space="preserve">zasažení </w:t>
      </w:r>
      <w:r w:rsidR="00BC0C51">
        <w:t xml:space="preserve">vybranými </w:t>
      </w:r>
      <w:r w:rsidR="00562605">
        <w:t xml:space="preserve">osmi </w:t>
      </w:r>
      <w:r w:rsidR="00E619A1">
        <w:t xml:space="preserve">kriminálními </w:t>
      </w:r>
      <w:r w:rsidR="0048295B">
        <w:t>delikty</w:t>
      </w:r>
      <w:r>
        <w:t>.</w:t>
      </w:r>
      <w:r w:rsidR="00C5552C">
        <w:t xml:space="preserve"> </w:t>
      </w:r>
      <w:r w:rsidR="0019622D">
        <w:t xml:space="preserve"> </w:t>
      </w:r>
      <w:r w:rsidR="00C5552C">
        <w:t xml:space="preserve">   </w:t>
      </w:r>
    </w:p>
    <w:p w:rsidR="00C5552C" w:rsidRPr="00E21C6A" w:rsidRDefault="00E21C6A" w:rsidP="002B7DFC">
      <w:pPr>
        <w:pStyle w:val="Zkladntext"/>
        <w:rPr>
          <w:b/>
        </w:rPr>
      </w:pPr>
      <w:r>
        <w:rPr>
          <w:b/>
        </w:rPr>
        <w:t xml:space="preserve"> </w:t>
      </w:r>
      <w:r>
        <w:sym w:font="Symbol" w:char="F0B7"/>
      </w:r>
      <w:r>
        <w:t xml:space="preserve"> </w:t>
      </w:r>
      <w:r w:rsidR="000965D6" w:rsidRPr="007D7BF6">
        <w:t xml:space="preserve">IKSP v posledních letech </w:t>
      </w:r>
      <w:r w:rsidR="005C7731" w:rsidRPr="007D7BF6">
        <w:t>realizova</w:t>
      </w:r>
      <w:r w:rsidR="002B7DFC">
        <w:t>l</w:t>
      </w:r>
      <w:r w:rsidR="005C7731" w:rsidRPr="007D7BF6">
        <w:t xml:space="preserve"> dvě </w:t>
      </w:r>
      <w:r w:rsidR="000965D6" w:rsidRPr="007D7BF6">
        <w:t xml:space="preserve">výzkumné </w:t>
      </w:r>
      <w:proofErr w:type="spellStart"/>
      <w:r w:rsidR="000965D6" w:rsidRPr="007D7BF6">
        <w:t>viktimologické</w:t>
      </w:r>
      <w:proofErr w:type="spellEnd"/>
      <w:r w:rsidR="000965D6" w:rsidRPr="007D7BF6">
        <w:t xml:space="preserve"> sondy mezi obyvatelstvem </w:t>
      </w:r>
      <w:r w:rsidR="00B66BF4" w:rsidRPr="007D7BF6">
        <w:t xml:space="preserve">naší </w:t>
      </w:r>
      <w:r w:rsidR="000965D6" w:rsidRPr="007D7BF6">
        <w:t>republiky</w:t>
      </w:r>
      <w:r w:rsidR="005C7731" w:rsidRPr="007D7BF6">
        <w:t>.</w:t>
      </w:r>
      <w:r w:rsidR="000965D6" w:rsidRPr="007D7BF6">
        <w:t xml:space="preserve"> Výzkumy byly provedeny v roce 201</w:t>
      </w:r>
      <w:r w:rsidR="00BB70BC">
        <w:t>3</w:t>
      </w:r>
      <w:r w:rsidR="000965D6" w:rsidRPr="007D7BF6">
        <w:t xml:space="preserve"> a 201</w:t>
      </w:r>
      <w:r w:rsidR="00BB70BC">
        <w:t>0</w:t>
      </w:r>
      <w:r w:rsidR="005C7731" w:rsidRPr="007D7BF6">
        <w:t xml:space="preserve"> za využití stejné metodiky, tj. i za využití stejného dotazníku.</w:t>
      </w:r>
      <w:r w:rsidR="000965D6" w:rsidRPr="007D7BF6">
        <w:t xml:space="preserve"> </w:t>
      </w:r>
      <w:r w:rsidR="008240B8" w:rsidRPr="007D7BF6">
        <w:t xml:space="preserve">V referátě bude pozornost zaměřena </w:t>
      </w:r>
      <w:r w:rsidR="00E35BDD">
        <w:t xml:space="preserve">především </w:t>
      </w:r>
      <w:r w:rsidR="008240B8" w:rsidRPr="007D7BF6">
        <w:t>na</w:t>
      </w:r>
      <w:r w:rsidR="005C7731" w:rsidRPr="007D7BF6">
        <w:t xml:space="preserve"> údaje z dosud posledního výzkumu </w:t>
      </w:r>
      <w:r w:rsidR="00103491" w:rsidRPr="007D7BF6">
        <w:t>provedeného</w:t>
      </w:r>
      <w:r w:rsidR="005C7731" w:rsidRPr="007D7BF6">
        <w:t xml:space="preserve"> v </w:t>
      </w:r>
      <w:r w:rsidR="00251EEB" w:rsidRPr="007D7BF6">
        <w:t>roce</w:t>
      </w:r>
      <w:r w:rsidR="005C7731" w:rsidRPr="007D7BF6">
        <w:t xml:space="preserve"> 2013</w:t>
      </w:r>
      <w:r w:rsidR="00695675">
        <w:t xml:space="preserve"> (N=3000)</w:t>
      </w:r>
      <w:r w:rsidR="001313E3">
        <w:t>. V</w:t>
      </w:r>
      <w:r w:rsidR="005C7731" w:rsidRPr="007D7BF6">
        <w:t xml:space="preserve"> některých </w:t>
      </w:r>
      <w:r w:rsidR="007D7BF6" w:rsidRPr="007D7BF6">
        <w:t xml:space="preserve">případech </w:t>
      </w:r>
      <w:r w:rsidR="005C7731" w:rsidRPr="007D7BF6">
        <w:t>bud</w:t>
      </w:r>
      <w:r w:rsidR="008240B8" w:rsidRPr="007D7BF6">
        <w:t>o</w:t>
      </w:r>
      <w:r w:rsidR="005C7731" w:rsidRPr="007D7BF6">
        <w:t xml:space="preserve">u pro srovnání </w:t>
      </w:r>
      <w:r w:rsidR="00103491" w:rsidRPr="007D7BF6">
        <w:t>uvádě</w:t>
      </w:r>
      <w:r w:rsidR="008240B8" w:rsidRPr="007D7BF6">
        <w:t>na</w:t>
      </w:r>
      <w:r w:rsidR="00103491" w:rsidRPr="007D7BF6">
        <w:t xml:space="preserve"> </w:t>
      </w:r>
      <w:r w:rsidR="005C7731" w:rsidRPr="007D7BF6">
        <w:t>data i z</w:t>
      </w:r>
      <w:r w:rsidR="00B66BF4" w:rsidRPr="007D7BF6">
        <w:t xml:space="preserve"> výzkumu z </w:t>
      </w:r>
      <w:r w:rsidR="005C7731" w:rsidRPr="007D7BF6">
        <w:t>roku 2010</w:t>
      </w:r>
      <w:r w:rsidR="00695675">
        <w:t xml:space="preserve"> (N=1003)</w:t>
      </w:r>
      <w:r w:rsidR="005C7731" w:rsidRPr="007D7BF6">
        <w:t xml:space="preserve">. </w:t>
      </w:r>
      <w:r w:rsidR="00821DAA" w:rsidRPr="007D7BF6">
        <w:t xml:space="preserve">       </w:t>
      </w:r>
    </w:p>
    <w:p w:rsidR="004200CC" w:rsidRDefault="00E21C6A" w:rsidP="00E21C6A">
      <w:pPr>
        <w:pStyle w:val="Zkladntext"/>
      </w:pPr>
      <w:r>
        <w:sym w:font="Symbol" w:char="F0B7"/>
      </w:r>
      <w:r>
        <w:t xml:space="preserve"> </w:t>
      </w:r>
      <w:r w:rsidR="00311BB3">
        <w:t xml:space="preserve"> </w:t>
      </w:r>
      <w:r w:rsidR="00C5552C" w:rsidRPr="009077D4">
        <w:t xml:space="preserve">Výzkum </w:t>
      </w:r>
      <w:r>
        <w:t xml:space="preserve">IKSP </w:t>
      </w:r>
      <w:r w:rsidR="00C5552C" w:rsidRPr="009077D4">
        <w:t xml:space="preserve">se </w:t>
      </w:r>
      <w:r>
        <w:t xml:space="preserve">v roce 2013 </w:t>
      </w:r>
      <w:r w:rsidR="00953513">
        <w:t xml:space="preserve">(právě tak jako v roce 2010) </w:t>
      </w:r>
      <w:r w:rsidR="00C5552C" w:rsidRPr="009077D4">
        <w:t xml:space="preserve">zaměřil na zkoumání obětí osmi deliktů:  </w:t>
      </w:r>
      <w:r w:rsidR="00C5552C" w:rsidRPr="009077D4">
        <w:rPr>
          <w:iCs/>
        </w:rPr>
        <w:t xml:space="preserve">Krádež auta, krádež věcí z auta, vloupání do obydlí </w:t>
      </w:r>
      <w:r w:rsidR="00C5552C" w:rsidRPr="0082150F">
        <w:rPr>
          <w:iCs/>
        </w:rPr>
        <w:t>(včetně sklepů, garáží a dalších objektů patřících k domu/bytu), vloupání do chaty/chalupy (včetně sklepů, garáží a dalších objektů patřících k tomuto rekreačnímu objektu), krádež osobních</w:t>
      </w:r>
      <w:r w:rsidR="00C5552C" w:rsidRPr="009077D4">
        <w:rPr>
          <w:iCs/>
        </w:rPr>
        <w:t xml:space="preserve"> věcí za použití násilí či s pohrůžkou násilí /loupež/ (a to vč. pokusu)</w:t>
      </w:r>
      <w:r w:rsidR="00C5552C" w:rsidRPr="009077D4">
        <w:rPr>
          <w:rStyle w:val="Znakapoznpodarou"/>
          <w:iCs/>
        </w:rPr>
        <w:footnoteReference w:id="1"/>
      </w:r>
      <w:r w:rsidR="00C5552C" w:rsidRPr="009077D4">
        <w:rPr>
          <w:iCs/>
        </w:rPr>
        <w:t>, krádež osobních věcí bez použití násilí, fyzické napadení (od cizí osoby, bez snahy napadeného okrást), vyhrožování fyzickým násilím (od cizí osoby).</w:t>
      </w:r>
      <w:r w:rsidR="00C5552C" w:rsidRPr="00C5552C">
        <w:t xml:space="preserve"> </w:t>
      </w:r>
      <w:r w:rsidR="00577131">
        <w:t xml:space="preserve"> </w:t>
      </w:r>
    </w:p>
    <w:p w:rsidR="00C5552C" w:rsidRPr="009077D4" w:rsidRDefault="004200CC" w:rsidP="00E21C6A">
      <w:pPr>
        <w:pStyle w:val="Zkladntext"/>
      </w:pPr>
      <w:r>
        <w:t xml:space="preserve">     </w:t>
      </w:r>
      <w:r w:rsidR="00E15B8D">
        <w:t>P</w:t>
      </w:r>
      <w:r w:rsidR="00C5552C" w:rsidRPr="000E201B">
        <w:t xml:space="preserve">rvní polovina </w:t>
      </w:r>
      <w:r w:rsidR="00E15B8D">
        <w:t xml:space="preserve">výše uvedených osmi deliktů </w:t>
      </w:r>
      <w:r w:rsidR="00C5552C" w:rsidRPr="000E201B">
        <w:t>mohla postihnout nejen osobně respondenta, ale případně se dotkla i někoho z členů jeho rodiny, druhá polovina se týkala výhradně osoby respondenta.</w:t>
      </w:r>
      <w:r w:rsidR="00C5552C">
        <w:t xml:space="preserve">       </w:t>
      </w:r>
    </w:p>
    <w:p w:rsidR="002B7DFC" w:rsidRDefault="00E21C6A" w:rsidP="00E21C6A">
      <w:pPr>
        <w:pStyle w:val="Zkladntext"/>
      </w:pPr>
      <w:r>
        <w:sym w:font="Symbol" w:char="F02D"/>
      </w:r>
      <w:r w:rsidR="00577131">
        <w:t xml:space="preserve"> </w:t>
      </w:r>
      <w:r>
        <w:t xml:space="preserve"> </w:t>
      </w:r>
      <w:r w:rsidR="001C47E1" w:rsidRPr="001C47E1">
        <w:rPr>
          <w:i/>
        </w:rPr>
        <w:t>P</w:t>
      </w:r>
      <w:r w:rsidR="00CA1B64" w:rsidRPr="001C47E1">
        <w:rPr>
          <w:i/>
        </w:rPr>
        <w:t>rovedení výzkumu:</w:t>
      </w:r>
      <w:r w:rsidR="00CA1B64">
        <w:t xml:space="preserve"> </w:t>
      </w:r>
      <w:r w:rsidR="002B7DFC" w:rsidRPr="00F46C85">
        <w:t>Výzkum</w:t>
      </w:r>
      <w:r w:rsidR="002B7DFC">
        <w:t>ná sonda</w:t>
      </w:r>
      <w:r w:rsidR="002B7DFC" w:rsidRPr="00F46C85">
        <w:t xml:space="preserve"> v roce 2013 byl</w:t>
      </w:r>
      <w:r w:rsidR="002B7DFC">
        <w:t>a</w:t>
      </w:r>
      <w:r w:rsidR="002B7DFC" w:rsidRPr="00F46C85">
        <w:t xml:space="preserve"> proveden</w:t>
      </w:r>
      <w:r w:rsidR="002B7DFC">
        <w:t>a</w:t>
      </w:r>
      <w:r w:rsidR="002B7DFC" w:rsidRPr="00F46C85">
        <w:t xml:space="preserve"> na reprezentativním souboru 3</w:t>
      </w:r>
      <w:r w:rsidR="002B7DFC">
        <w:t xml:space="preserve"> </w:t>
      </w:r>
      <w:r w:rsidR="002B7DFC" w:rsidRPr="00F46C85">
        <w:t xml:space="preserve">000 osob starších 15 let </w:t>
      </w:r>
      <w:r w:rsidR="002B7DFC">
        <w:t xml:space="preserve">z celé ČR. Sběr dat v terénu realizovala </w:t>
      </w:r>
      <w:r w:rsidR="002B7DFC" w:rsidRPr="00F46C85">
        <w:t>profesionální agentur</w:t>
      </w:r>
      <w:r w:rsidR="002B7DFC">
        <w:t>a</w:t>
      </w:r>
      <w:r w:rsidR="002B7DFC" w:rsidRPr="00F46C85">
        <w:t>.</w:t>
      </w:r>
      <w:r w:rsidR="002B7DFC">
        <w:t xml:space="preserve"> Výzkum z</w:t>
      </w:r>
      <w:r w:rsidR="002B7DFC" w:rsidRPr="00F46C85">
        <w:t xml:space="preserve">koumal </w:t>
      </w:r>
      <w:r w:rsidR="002B7DFC">
        <w:t xml:space="preserve">retrospektivně </w:t>
      </w:r>
      <w:r w:rsidR="002B7DFC" w:rsidRPr="00F46C85">
        <w:t xml:space="preserve">viktimizaci respondentů </w:t>
      </w:r>
      <w:r w:rsidR="00953513">
        <w:t>výše</w:t>
      </w:r>
      <w:r w:rsidR="002B7DFC" w:rsidRPr="00F46C85">
        <w:t xml:space="preserve"> uvedenými osmi delikty během jednoho roku, který předcházel výzkumu (konkrétně se jednalo o období listopad 2012 až říjen 2013 /</w:t>
      </w:r>
      <w:r w:rsidR="002B7DFC">
        <w:t>v textu pro označení tohoto období bude uváděn r</w:t>
      </w:r>
      <w:r w:rsidR="002B7DFC" w:rsidRPr="00F46C85">
        <w:t>ok 2013</w:t>
      </w:r>
      <w:r w:rsidR="002B7DFC">
        <w:t>/</w:t>
      </w:r>
      <w:r w:rsidR="002B7DFC" w:rsidRPr="00F46C85">
        <w:t>). Sběr dat byl proveden metodou</w:t>
      </w:r>
      <w:r w:rsidR="002B7DFC">
        <w:t xml:space="preserve"> CAPI.</w:t>
      </w:r>
      <w:r w:rsidR="002B7DFC" w:rsidRPr="00F46C85">
        <w:t xml:space="preserve"> Soubor kontaktovaných osob byl reprezentativní ve věku, pohlaví, vzdělání, velikosti místa </w:t>
      </w:r>
      <w:proofErr w:type="gramStart"/>
      <w:r w:rsidR="002B7DFC" w:rsidRPr="00F46C85">
        <w:t xml:space="preserve">bydliště a </w:t>
      </w:r>
      <w:r w:rsidR="002B7DFC">
        <w:t>pokud</w:t>
      </w:r>
      <w:proofErr w:type="gramEnd"/>
      <w:r w:rsidR="002B7DFC">
        <w:t xml:space="preserve"> jde o vyšší územně samosprávní celky (</w:t>
      </w:r>
      <w:r w:rsidR="002B7DFC" w:rsidRPr="00F46C85">
        <w:t>kraje</w:t>
      </w:r>
      <w:r w:rsidR="002B7DFC">
        <w:t>)</w:t>
      </w:r>
      <w:r w:rsidR="002B7DFC" w:rsidRPr="00F46C85">
        <w:t xml:space="preserve">. </w:t>
      </w:r>
      <w:r w:rsidR="002B7DFC" w:rsidRPr="008070F3">
        <w:t xml:space="preserve">Dotazování bylo provedeno </w:t>
      </w:r>
      <w:r w:rsidR="002B7DFC">
        <w:t xml:space="preserve">na podkladě </w:t>
      </w:r>
      <w:r w:rsidR="002B7DFC" w:rsidRPr="008070F3">
        <w:t xml:space="preserve">dotazníku, který byl připraven v IKSP </w:t>
      </w:r>
      <w:r w:rsidR="002B7DFC" w:rsidRPr="008070F3">
        <w:lastRenderedPageBreak/>
        <w:t xml:space="preserve">speciálně pro tento výzkum. </w:t>
      </w:r>
      <w:r w:rsidR="00311BB3" w:rsidRPr="00F46C85">
        <w:t xml:space="preserve">Metodologicky byl výzkum inspirován mezinárodními </w:t>
      </w:r>
      <w:proofErr w:type="spellStart"/>
      <w:r w:rsidR="00311BB3" w:rsidRPr="00F46C85">
        <w:t>viktimologickými</w:t>
      </w:r>
      <w:proofErr w:type="spellEnd"/>
      <w:r w:rsidR="00311BB3" w:rsidRPr="00F46C85">
        <w:t xml:space="preserve"> výzkumy </w:t>
      </w:r>
      <w:r w:rsidR="00311BB3">
        <w:t>(</w:t>
      </w:r>
      <w:r w:rsidR="00311BB3" w:rsidRPr="00F46C85">
        <w:t>ICVS</w:t>
      </w:r>
      <w:r w:rsidR="00311BB3">
        <w:t>)</w:t>
      </w:r>
      <w:r w:rsidR="00311BB3" w:rsidRPr="00F46C85">
        <w:t xml:space="preserve">. </w:t>
      </w:r>
      <w:r w:rsidR="002B7DFC">
        <w:t xml:space="preserve">            </w:t>
      </w:r>
    </w:p>
    <w:p w:rsidR="002B7DFC" w:rsidRPr="00434457" w:rsidRDefault="00E21C6A" w:rsidP="00E21C6A">
      <w:pPr>
        <w:pStyle w:val="Zkladntext"/>
      </w:pPr>
      <w:r>
        <w:sym w:font="Symbol" w:char="F02D"/>
      </w:r>
      <w:r>
        <w:t xml:space="preserve">  </w:t>
      </w:r>
      <w:r w:rsidR="00CA1B64" w:rsidRPr="001C47E1">
        <w:rPr>
          <w:i/>
        </w:rPr>
        <w:t>Cíle výzkumu</w:t>
      </w:r>
      <w:r w:rsidR="00CA1B64">
        <w:t xml:space="preserve">: </w:t>
      </w:r>
      <w:r w:rsidR="0000184A">
        <w:t>V</w:t>
      </w:r>
      <w:r w:rsidR="000018E9">
        <w:t xml:space="preserve"> roce </w:t>
      </w:r>
      <w:r w:rsidR="0000184A">
        <w:t>2013 (obdobně jako v roce 2010),</w:t>
      </w:r>
      <w:r w:rsidR="0000184A" w:rsidRPr="0000184A">
        <w:t xml:space="preserve"> </w:t>
      </w:r>
      <w:r w:rsidR="0000184A" w:rsidRPr="000E201B">
        <w:t>výzkum zjišťoval</w:t>
      </w:r>
      <w:r w:rsidR="0000184A">
        <w:t xml:space="preserve"> </w:t>
      </w:r>
      <w:proofErr w:type="gramStart"/>
      <w:r w:rsidR="002B7DFC">
        <w:t>retrospektivně</w:t>
      </w:r>
      <w:r w:rsidR="0000184A">
        <w:t>,</w:t>
      </w:r>
      <w:r w:rsidR="000018E9">
        <w:t xml:space="preserve"> </w:t>
      </w:r>
      <w:r w:rsidR="002B7DFC">
        <w:t xml:space="preserve"> a to</w:t>
      </w:r>
      <w:proofErr w:type="gramEnd"/>
      <w:r w:rsidR="002B7DFC" w:rsidRPr="00133204">
        <w:t xml:space="preserve"> </w:t>
      </w:r>
      <w:r w:rsidR="002B7DFC" w:rsidRPr="000E201B">
        <w:t>během období jednoho roku, který předcházel výzkumu,: 1. kolik osob bylo zasaženo jednotlivými zkoumanými delikty</w:t>
      </w:r>
      <w:r w:rsidR="002B7DFC">
        <w:t>,</w:t>
      </w:r>
      <w:r w:rsidR="002B7DFC" w:rsidRPr="000E201B">
        <w:t xml:space="preserve"> zjišťoval 2. opakovanou viktimizaci tím samým deliktem během zkoumaného </w:t>
      </w:r>
      <w:r w:rsidR="002B7DFC">
        <w:t xml:space="preserve">jednoho </w:t>
      </w:r>
      <w:r w:rsidR="002B7DFC" w:rsidRPr="000E201B">
        <w:t xml:space="preserve">roku. Zjišťoval 3. viktimizaci více delikty </w:t>
      </w:r>
      <w:r w:rsidR="002B7DFC">
        <w:t xml:space="preserve">z osmi sledovaných </w:t>
      </w:r>
      <w:r w:rsidR="002B7DFC" w:rsidRPr="000E201B">
        <w:t xml:space="preserve">během </w:t>
      </w:r>
      <w:r w:rsidR="000018E9">
        <w:t>zkoumaného</w:t>
      </w:r>
      <w:r w:rsidR="002B7DFC" w:rsidRPr="000E201B">
        <w:t xml:space="preserve"> </w:t>
      </w:r>
      <w:proofErr w:type="gramStart"/>
      <w:r w:rsidR="002B7DFC" w:rsidRPr="000E201B">
        <w:t>období</w:t>
      </w:r>
      <w:r w:rsidR="002B7DFC">
        <w:t>,</w:t>
      </w:r>
      <w:r w:rsidR="002B7DFC" w:rsidRPr="000E201B">
        <w:t xml:space="preserve"> 4.  zjišťoval</w:t>
      </w:r>
      <w:proofErr w:type="gramEnd"/>
      <w:r w:rsidR="002B7DFC" w:rsidRPr="000E201B">
        <w:t>, kolik deliktů, kterých se stal</w:t>
      </w:r>
      <w:r w:rsidR="002B7DFC">
        <w:t>i</w:t>
      </w:r>
      <w:r w:rsidR="002B7DFC" w:rsidRPr="000E201B">
        <w:t xml:space="preserve"> </w:t>
      </w:r>
      <w:r w:rsidR="002B7DFC">
        <w:t xml:space="preserve">během sledovaného období respondenti </w:t>
      </w:r>
      <w:r w:rsidR="002B7DFC" w:rsidRPr="000E201B">
        <w:t xml:space="preserve">podle vlastních výpovědí oběťmi, </w:t>
      </w:r>
      <w:r w:rsidR="002B7DFC" w:rsidRPr="00324ECD">
        <w:t>nebylo nahlášeno</w:t>
      </w:r>
      <w:r w:rsidR="002B7DFC" w:rsidRPr="000E201B">
        <w:t xml:space="preserve"> policii (tj. policie se od oběti nedozvěděla, že delikt byl spáchán). </w:t>
      </w:r>
    </w:p>
    <w:p w:rsidR="002B7DFC" w:rsidRPr="00CE59FB" w:rsidRDefault="00E21C6A" w:rsidP="00E21C6A">
      <w:pPr>
        <w:pStyle w:val="Zkladntext"/>
        <w:rPr>
          <w:iCs/>
        </w:rPr>
      </w:pPr>
      <w:r>
        <w:sym w:font="Symbol" w:char="F0B7"/>
      </w:r>
      <w:r>
        <w:t xml:space="preserve">   </w:t>
      </w:r>
      <w:r w:rsidR="00CA1B64" w:rsidRPr="001C47E1">
        <w:rPr>
          <w:i/>
        </w:rPr>
        <w:t>Poznatky:</w:t>
      </w:r>
      <w:r w:rsidR="00CA1B64">
        <w:t xml:space="preserve"> </w:t>
      </w:r>
      <w:r w:rsidR="002B7DFC" w:rsidRPr="0082150F">
        <w:rPr>
          <w:iCs/>
        </w:rPr>
        <w:t xml:space="preserve">K získaným údajům o </w:t>
      </w:r>
      <w:r w:rsidR="002B7DFC" w:rsidRPr="0082150F">
        <w:rPr>
          <w:iCs/>
          <w:u w:val="single"/>
        </w:rPr>
        <w:t>vícečetné viktimizaci</w:t>
      </w:r>
      <w:r w:rsidR="002B7DFC" w:rsidRPr="0082150F">
        <w:rPr>
          <w:iCs/>
        </w:rPr>
        <w:t xml:space="preserve"> lze uvést následující. </w:t>
      </w:r>
      <w:r w:rsidR="002B7DFC" w:rsidRPr="0082150F">
        <w:t xml:space="preserve">Bylo zjištěno, že v roce 2013  23,6 % respondentů bylo během sledovaného ročního období zasaženo jedním deliktem z osmi </w:t>
      </w:r>
      <w:proofErr w:type="gramStart"/>
      <w:r w:rsidR="002B7DFC" w:rsidRPr="0082150F">
        <w:t>sledovaných,  9,1</w:t>
      </w:r>
      <w:proofErr w:type="gramEnd"/>
      <w:r w:rsidR="002B7DFC" w:rsidRPr="0082150F">
        <w:t xml:space="preserve"> % respondentů bylo zasaženo dvěma delikty, 2,8 %</w:t>
      </w:r>
      <w:r w:rsidR="0000184A">
        <w:t xml:space="preserve">  třemi delikty</w:t>
      </w:r>
      <w:r w:rsidR="002B7DFC" w:rsidRPr="0082150F">
        <w:t xml:space="preserve"> a 0,9 % čtyřmi a více delikty. Bylo tak zřejmé, že zhruba 36 % dotázaných osob, můžeme</w:t>
      </w:r>
      <w:r w:rsidR="002B7DFC" w:rsidRPr="000E201B">
        <w:t xml:space="preserve"> říci, že potažmo </w:t>
      </w:r>
      <w:r w:rsidR="002B7DFC">
        <w:t>o</w:t>
      </w:r>
      <w:r w:rsidR="002B7DFC" w:rsidRPr="000E201B">
        <w:t>byvatel ČR, se stalo během zkoumaného dvanáctiměsíčního období oběťmi nejméně jednoho ze zkoumaných osmi deliktů</w:t>
      </w:r>
      <w:r w:rsidR="002B7DFC">
        <w:t>.</w:t>
      </w:r>
      <w:r w:rsidR="002B7DFC" w:rsidRPr="000E201B">
        <w:t xml:space="preserve"> </w:t>
      </w:r>
    </w:p>
    <w:p w:rsidR="005879AC" w:rsidRPr="006A33A9" w:rsidRDefault="00104961" w:rsidP="005879AC">
      <w:pPr>
        <w:pStyle w:val="Zkladntext"/>
        <w:rPr>
          <w:strike/>
        </w:rPr>
      </w:pPr>
      <w:r>
        <w:rPr>
          <w:i/>
          <w:iCs/>
        </w:rPr>
        <w:t xml:space="preserve">          </w:t>
      </w:r>
      <w:r w:rsidR="00C5552C">
        <w:rPr>
          <w:i/>
          <w:iCs/>
        </w:rPr>
        <w:t xml:space="preserve"> </w:t>
      </w:r>
      <w:r>
        <w:rPr>
          <w:i/>
          <w:iCs/>
        </w:rPr>
        <w:t xml:space="preserve"> </w:t>
      </w:r>
      <w:r>
        <w:t xml:space="preserve">Při sledování </w:t>
      </w:r>
      <w:r w:rsidR="005879AC" w:rsidRPr="000E201B">
        <w:t>viktimizac</w:t>
      </w:r>
      <w:r>
        <w:t>e</w:t>
      </w:r>
      <w:r w:rsidR="005879AC" w:rsidRPr="000E201B">
        <w:t xml:space="preserve"> dotázaných obyvatel více delikty ze sledovaných osmi </w:t>
      </w:r>
      <w:r w:rsidR="0000184A">
        <w:t>bylo zřejmé, že s</w:t>
      </w:r>
      <w:r w:rsidR="005879AC" w:rsidRPr="000E201B">
        <w:t> odstupem tří let</w:t>
      </w:r>
      <w:r w:rsidR="00CA1B64">
        <w:t xml:space="preserve"> (</w:t>
      </w:r>
      <w:r w:rsidR="005879AC">
        <w:t>tedy v letech 2010 a 2013</w:t>
      </w:r>
      <w:r w:rsidR="00CA1B64">
        <w:t>)</w:t>
      </w:r>
      <w:r w:rsidR="00E15B8D">
        <w:t>,</w:t>
      </w:r>
      <w:r>
        <w:t xml:space="preserve"> </w:t>
      </w:r>
      <w:r w:rsidR="005879AC" w:rsidRPr="003E2BD3">
        <w:t xml:space="preserve">v souboru respondentů klesl </w:t>
      </w:r>
      <w:r w:rsidR="005879AC">
        <w:t xml:space="preserve">o zhruba 5 % </w:t>
      </w:r>
      <w:r w:rsidR="005879AC" w:rsidRPr="003E2BD3">
        <w:t xml:space="preserve">v roce 2013 oproti roku 2010 počet </w:t>
      </w:r>
      <w:proofErr w:type="gramStart"/>
      <w:r w:rsidR="005879AC" w:rsidRPr="003E2BD3">
        <w:t>osob, které</w:t>
      </w:r>
      <w:proofErr w:type="gramEnd"/>
      <w:r w:rsidR="005879AC" w:rsidRPr="003E2BD3">
        <w:t xml:space="preserve"> </w:t>
      </w:r>
      <w:r w:rsidR="005879AC" w:rsidRPr="004200CC">
        <w:t>nebyly oběťmi</w:t>
      </w:r>
      <w:r w:rsidR="005879AC" w:rsidRPr="003E2BD3">
        <w:t xml:space="preserve"> žádného z osmi deliktů </w:t>
      </w:r>
      <w:r w:rsidR="005879AC" w:rsidRPr="0027192D">
        <w:t xml:space="preserve"> </w:t>
      </w:r>
      <w:r w:rsidR="005879AC" w:rsidRPr="003E2BD3">
        <w:t xml:space="preserve">a naopak se zvýšil počet </w:t>
      </w:r>
      <w:proofErr w:type="gramStart"/>
      <w:r w:rsidR="005879AC" w:rsidRPr="003E2BD3">
        <w:t>osob, které</w:t>
      </w:r>
      <w:proofErr w:type="gramEnd"/>
      <w:r w:rsidR="005879AC" w:rsidRPr="003E2BD3">
        <w:t xml:space="preserve"> byly některými ze sledovaných deliktů</w:t>
      </w:r>
      <w:r w:rsidR="00777C67">
        <w:t xml:space="preserve"> </w:t>
      </w:r>
      <w:r w:rsidR="005879AC" w:rsidRPr="003E2BD3">
        <w:t>zasaženy.</w:t>
      </w:r>
      <w:r w:rsidR="005879AC">
        <w:t xml:space="preserve"> </w:t>
      </w:r>
      <w:r w:rsidR="005879AC" w:rsidRPr="005D3AAE">
        <w:t>Rozdíly mezi zjištěnými absolutními hodnotami</w:t>
      </w:r>
      <w:r w:rsidR="005879AC" w:rsidRPr="000E201B">
        <w:t xml:space="preserve"> z roku 2013 a 2010 byly statisticky významné. </w:t>
      </w:r>
      <w:r w:rsidR="00CA1B64">
        <w:t>P</w:t>
      </w:r>
      <w:r w:rsidR="005879AC" w:rsidRPr="009D7502">
        <w:t xml:space="preserve">oškození jednotlivých respondentů, potažmo obyvatel ČR, více zkoumanými delikty </w:t>
      </w:r>
      <w:r w:rsidR="00CA1B64">
        <w:t xml:space="preserve">tak </w:t>
      </w:r>
      <w:r w:rsidR="005879AC" w:rsidRPr="009D7502">
        <w:t>bylo v roce 2013 vyšší než v roce 2010.</w:t>
      </w:r>
      <w:r w:rsidR="005879AC" w:rsidRPr="009D7502">
        <w:rPr>
          <w:iCs/>
        </w:rPr>
        <w:t xml:space="preserve"> </w:t>
      </w:r>
      <w:r w:rsidR="005879AC">
        <w:rPr>
          <w:iCs/>
        </w:rPr>
        <w:t xml:space="preserve"> </w:t>
      </w:r>
    </w:p>
    <w:p w:rsidR="002B7DFC" w:rsidRPr="0019023A" w:rsidRDefault="00E21C6A" w:rsidP="002B7DFC">
      <w:pPr>
        <w:pStyle w:val="Zkladntext"/>
        <w:rPr>
          <w:i/>
          <w:iCs/>
        </w:rPr>
      </w:pPr>
      <w:r>
        <w:sym w:font="Symbol" w:char="F0B7"/>
      </w:r>
      <w:r>
        <w:t xml:space="preserve"> </w:t>
      </w:r>
      <w:r w:rsidR="002B7DFC" w:rsidRPr="009077D4">
        <w:rPr>
          <w:iCs/>
        </w:rPr>
        <w:t xml:space="preserve">Pokud jde o </w:t>
      </w:r>
      <w:r w:rsidR="002B7DFC" w:rsidRPr="002B7DFC">
        <w:rPr>
          <w:iCs/>
          <w:u w:val="single"/>
        </w:rPr>
        <w:t>zasažení</w:t>
      </w:r>
      <w:r w:rsidR="002B7DFC" w:rsidRPr="009077D4">
        <w:rPr>
          <w:iCs/>
        </w:rPr>
        <w:t xml:space="preserve"> dotázaných osob </w:t>
      </w:r>
      <w:r w:rsidR="002B7DFC" w:rsidRPr="002B7DFC">
        <w:rPr>
          <w:iCs/>
          <w:u w:val="single"/>
        </w:rPr>
        <w:t>jednotlivými delikty</w:t>
      </w:r>
      <w:r w:rsidR="002B7DFC" w:rsidRPr="009077D4">
        <w:rPr>
          <w:iCs/>
        </w:rPr>
        <w:t xml:space="preserve"> během zkoumaného jednoročního období</w:t>
      </w:r>
      <w:r w:rsidR="002B7DFC">
        <w:rPr>
          <w:iCs/>
        </w:rPr>
        <w:t>,</w:t>
      </w:r>
      <w:r w:rsidR="002B7DFC" w:rsidRPr="009077D4">
        <w:rPr>
          <w:iCs/>
        </w:rPr>
        <w:t xml:space="preserve"> v roce 2013</w:t>
      </w:r>
      <w:r w:rsidR="002B7DFC" w:rsidRPr="0038353D">
        <w:rPr>
          <w:iCs/>
        </w:rPr>
        <w:t xml:space="preserve"> bylo poškozeno nejvíce respondentů, a tedy obyvatel České republiky</w:t>
      </w:r>
      <w:r w:rsidR="00E619A1">
        <w:rPr>
          <w:iCs/>
        </w:rPr>
        <w:t xml:space="preserve"> (viz tabulka č. 1)</w:t>
      </w:r>
      <w:r w:rsidR="002B7DFC" w:rsidRPr="0038353D">
        <w:rPr>
          <w:iCs/>
        </w:rPr>
        <w:t xml:space="preserve">, krádežemi osobních věcí /bez použití násilí/ (14,6 % respondentů) a krádežemi věcí z automobilu (10,5 % respondentů).  Dále se 8,6 % respondentů stalo oběťmi vloupáním do obydlí, 6,3 % respondentů bylo oběťmi vyhrožování fyzickým násilím od cizí osoby, 5,7 % respondentů bylo oběťmi vloupání do rekreační chaty/chalupy, 3,7 % respondentů bylo oběťmi fyzického napadení od cizí osoby /bez snahy okrást/, 3,1 % respondentů bylo oběťmi krádeže s použitím násilí (loupeže) a 2,3 % respondentů se stalo oběťmi krádeže automobilu. </w:t>
      </w:r>
    </w:p>
    <w:p w:rsidR="00E619A1" w:rsidRPr="00E21C6A" w:rsidRDefault="00E619A1" w:rsidP="00E619A1">
      <w:pPr>
        <w:pStyle w:val="Zkladntext"/>
        <w:rPr>
          <w:iCs/>
        </w:rPr>
      </w:pPr>
      <w:r>
        <w:rPr>
          <w:iCs/>
        </w:rPr>
        <w:t xml:space="preserve">        </w:t>
      </w:r>
      <w:r w:rsidRPr="0038353D">
        <w:rPr>
          <w:iCs/>
        </w:rPr>
        <w:t xml:space="preserve">Při srovnání dat z výzkumů z let 2010 a 2013 o poškození obyvatel České republiky jednotlivými zkoumanými osmi delikty, byly zjištěny statisticky významné rozdíly jen u </w:t>
      </w:r>
      <w:r w:rsidRPr="0038353D">
        <w:rPr>
          <w:iCs/>
        </w:rPr>
        <w:lastRenderedPageBreak/>
        <w:t xml:space="preserve">vloupání do obydlí, kdy se zvýšil výskyt postižených jedinců touto událostí v roce 2013 oproti roku 2010 z 6,2 % na 8,6 %. U ostatních sedmi deliktů zasažení osob zůstalo v obou zkoumaných letech, tedy s odstupem tří let, na obdobné úrovni. </w:t>
      </w:r>
    </w:p>
    <w:p w:rsidR="00E619A1" w:rsidRPr="00E619A1" w:rsidRDefault="0019023A" w:rsidP="00E619A1">
      <w:pPr>
        <w:pStyle w:val="Zkladntext"/>
        <w:rPr>
          <w:iCs/>
        </w:rPr>
      </w:pPr>
      <w:r>
        <w:rPr>
          <w:iCs/>
        </w:rPr>
        <w:t xml:space="preserve">          </w:t>
      </w:r>
    </w:p>
    <w:p w:rsidR="00953513" w:rsidRPr="00E619A1" w:rsidRDefault="00953513" w:rsidP="00953513">
      <w:pPr>
        <w:pStyle w:val="Zkladntext"/>
        <w:spacing w:line="240" w:lineRule="auto"/>
        <w:rPr>
          <w:b/>
          <w:iCs/>
          <w:sz w:val="22"/>
          <w:szCs w:val="22"/>
        </w:rPr>
      </w:pPr>
      <w:r w:rsidRPr="00E619A1">
        <w:rPr>
          <w:b/>
          <w:iCs/>
          <w:sz w:val="22"/>
          <w:szCs w:val="22"/>
        </w:rPr>
        <w:t>Tabulka č. 1</w:t>
      </w:r>
    </w:p>
    <w:p w:rsidR="00953513" w:rsidRPr="00E619A1" w:rsidRDefault="00953513" w:rsidP="00953513">
      <w:pPr>
        <w:pStyle w:val="Zkladntext"/>
        <w:spacing w:line="240" w:lineRule="auto"/>
        <w:rPr>
          <w:iCs/>
          <w:strike/>
          <w:color w:val="FF0000"/>
          <w:sz w:val="22"/>
          <w:szCs w:val="22"/>
        </w:rPr>
      </w:pPr>
      <w:r w:rsidRPr="00E619A1">
        <w:rPr>
          <w:b/>
          <w:iCs/>
          <w:sz w:val="22"/>
          <w:szCs w:val="22"/>
        </w:rPr>
        <w:t xml:space="preserve">Počty obětí sledovaných osmi deliktů </w:t>
      </w:r>
      <w:r w:rsidR="0000184A">
        <w:rPr>
          <w:b/>
          <w:iCs/>
          <w:sz w:val="22"/>
          <w:szCs w:val="22"/>
        </w:rPr>
        <w:t xml:space="preserve">v ČR </w:t>
      </w:r>
      <w:r w:rsidRPr="00E619A1">
        <w:rPr>
          <w:b/>
          <w:iCs/>
          <w:sz w:val="22"/>
          <w:szCs w:val="22"/>
        </w:rPr>
        <w:t>během roku 2013</w:t>
      </w:r>
      <w:r w:rsidR="0000184A">
        <w:rPr>
          <w:b/>
          <w:iCs/>
          <w:sz w:val="22"/>
          <w:szCs w:val="22"/>
        </w:rPr>
        <w:t>,</w:t>
      </w:r>
      <w:r w:rsidRPr="00E619A1">
        <w:rPr>
          <w:b/>
          <w:iCs/>
          <w:sz w:val="22"/>
          <w:szCs w:val="22"/>
        </w:rPr>
        <w:t xml:space="preserve"> N=3</w:t>
      </w:r>
      <w:r w:rsidR="0000184A">
        <w:rPr>
          <w:b/>
          <w:iCs/>
          <w:sz w:val="22"/>
          <w:szCs w:val="22"/>
        </w:rPr>
        <w:t> </w:t>
      </w:r>
      <w:r w:rsidRPr="00E619A1">
        <w:rPr>
          <w:b/>
          <w:iCs/>
          <w:sz w:val="22"/>
          <w:szCs w:val="22"/>
        </w:rPr>
        <w:t>000</w:t>
      </w:r>
      <w:r w:rsidR="0000184A">
        <w:rPr>
          <w:b/>
          <w:iCs/>
          <w:sz w:val="22"/>
          <w:szCs w:val="22"/>
        </w:rPr>
        <w:t xml:space="preserve"> </w:t>
      </w:r>
      <w:r w:rsidR="0000184A" w:rsidRPr="002B1A68">
        <w:rPr>
          <w:iCs/>
          <w:sz w:val="22"/>
          <w:szCs w:val="22"/>
        </w:rPr>
        <w:t>(z nich</w:t>
      </w:r>
      <w:r w:rsidRPr="00E619A1">
        <w:rPr>
          <w:iCs/>
          <w:sz w:val="22"/>
          <w:szCs w:val="22"/>
        </w:rPr>
        <w:t xml:space="preserve"> majitelé/uživatelé aut n=2310, majitelé/uživatelé chat/chalup  n=727) </w:t>
      </w:r>
      <w:r w:rsidRPr="00E619A1">
        <w:rPr>
          <w:iCs/>
          <w:strike/>
          <w:color w:val="FF0000"/>
          <w:sz w:val="22"/>
          <w:szCs w:val="22"/>
          <w:highlight w:val="yellow"/>
        </w:rPr>
        <w:t xml:space="preserve"> </w:t>
      </w:r>
    </w:p>
    <w:p w:rsidR="00953513" w:rsidRPr="00E619A1" w:rsidRDefault="00953513" w:rsidP="00953513">
      <w:pPr>
        <w:pStyle w:val="Zkladntext"/>
        <w:spacing w:line="240" w:lineRule="auto"/>
        <w:rPr>
          <w:iCs/>
          <w:sz w:val="22"/>
          <w:szCs w:val="22"/>
        </w:rPr>
      </w:pP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4253"/>
        <w:gridCol w:w="1417"/>
        <w:gridCol w:w="1418"/>
      </w:tblGrid>
      <w:tr w:rsidR="00953513" w:rsidRPr="00E619A1" w:rsidTr="0095351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513" w:rsidRPr="00E619A1" w:rsidRDefault="00953513" w:rsidP="00CC6165">
            <w:pPr>
              <w:pStyle w:val="Zkladntext"/>
              <w:spacing w:line="240" w:lineRule="auto"/>
              <w:rPr>
                <w:iCs/>
                <w:strike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953513" w:rsidRPr="00E619A1" w:rsidRDefault="00953513" w:rsidP="00CC6165">
            <w:pPr>
              <w:pStyle w:val="Zkladntext"/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E619A1">
              <w:rPr>
                <w:iCs/>
                <w:sz w:val="22"/>
                <w:szCs w:val="22"/>
              </w:rPr>
              <w:t>2013</w:t>
            </w:r>
          </w:p>
        </w:tc>
      </w:tr>
      <w:tr w:rsidR="00953513" w:rsidRPr="00E619A1" w:rsidTr="0095351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3" w:rsidRPr="00E619A1" w:rsidRDefault="00953513" w:rsidP="00CC6165">
            <w:pPr>
              <w:pStyle w:val="Zkladntext"/>
              <w:spacing w:line="240" w:lineRule="auto"/>
              <w:rPr>
                <w:iCs/>
                <w:strike/>
                <w:sz w:val="22"/>
                <w:szCs w:val="22"/>
              </w:rPr>
            </w:pPr>
          </w:p>
        </w:tc>
        <w:tc>
          <w:tcPr>
            <w:tcW w:w="1417" w:type="dxa"/>
          </w:tcPr>
          <w:p w:rsidR="00953513" w:rsidRPr="00E619A1" w:rsidRDefault="00953513" w:rsidP="00CC6165">
            <w:pPr>
              <w:pStyle w:val="Zkladntext"/>
              <w:spacing w:line="240" w:lineRule="auto"/>
              <w:rPr>
                <w:iCs/>
                <w:sz w:val="22"/>
                <w:szCs w:val="22"/>
              </w:rPr>
            </w:pPr>
            <w:r w:rsidRPr="00E619A1">
              <w:rPr>
                <w:iCs/>
                <w:sz w:val="22"/>
                <w:szCs w:val="22"/>
              </w:rPr>
              <w:t>Abs.</w:t>
            </w:r>
          </w:p>
        </w:tc>
        <w:tc>
          <w:tcPr>
            <w:tcW w:w="1418" w:type="dxa"/>
          </w:tcPr>
          <w:p w:rsidR="00953513" w:rsidRPr="00E619A1" w:rsidRDefault="00953513" w:rsidP="00CC6165">
            <w:pPr>
              <w:pStyle w:val="Zkladntext"/>
              <w:spacing w:line="240" w:lineRule="auto"/>
              <w:rPr>
                <w:iCs/>
                <w:sz w:val="22"/>
                <w:szCs w:val="22"/>
              </w:rPr>
            </w:pPr>
            <w:r w:rsidRPr="00E619A1">
              <w:rPr>
                <w:iCs/>
                <w:sz w:val="22"/>
                <w:szCs w:val="22"/>
              </w:rPr>
              <w:t>%</w:t>
            </w:r>
          </w:p>
        </w:tc>
      </w:tr>
      <w:tr w:rsidR="00953513" w:rsidRPr="00E619A1" w:rsidTr="00953513">
        <w:tc>
          <w:tcPr>
            <w:tcW w:w="4253" w:type="dxa"/>
            <w:tcBorders>
              <w:top w:val="single" w:sz="4" w:space="0" w:color="auto"/>
            </w:tcBorders>
          </w:tcPr>
          <w:p w:rsidR="00953513" w:rsidRPr="00E619A1" w:rsidRDefault="00953513" w:rsidP="00CC6165">
            <w:pPr>
              <w:pStyle w:val="Zkladntext"/>
              <w:spacing w:line="240" w:lineRule="auto"/>
              <w:rPr>
                <w:iCs/>
                <w:sz w:val="22"/>
                <w:szCs w:val="22"/>
              </w:rPr>
            </w:pPr>
            <w:r w:rsidRPr="00E619A1">
              <w:rPr>
                <w:iCs/>
                <w:sz w:val="22"/>
                <w:szCs w:val="22"/>
              </w:rPr>
              <w:t>Krádež osobních věcí</w:t>
            </w:r>
          </w:p>
        </w:tc>
        <w:tc>
          <w:tcPr>
            <w:tcW w:w="1417" w:type="dxa"/>
          </w:tcPr>
          <w:p w:rsidR="00953513" w:rsidRPr="00E619A1" w:rsidRDefault="00953513" w:rsidP="00CC6165">
            <w:pPr>
              <w:pStyle w:val="Zkladntext"/>
              <w:spacing w:line="240" w:lineRule="auto"/>
              <w:rPr>
                <w:iCs/>
                <w:sz w:val="22"/>
                <w:szCs w:val="22"/>
              </w:rPr>
            </w:pPr>
            <w:r w:rsidRPr="00E619A1">
              <w:rPr>
                <w:iCs/>
                <w:sz w:val="22"/>
                <w:szCs w:val="22"/>
              </w:rPr>
              <w:t xml:space="preserve">439   </w:t>
            </w:r>
          </w:p>
        </w:tc>
        <w:tc>
          <w:tcPr>
            <w:tcW w:w="1418" w:type="dxa"/>
          </w:tcPr>
          <w:p w:rsidR="00953513" w:rsidRPr="00E619A1" w:rsidRDefault="00953513" w:rsidP="00CC6165">
            <w:pPr>
              <w:pStyle w:val="Zkladntext"/>
              <w:spacing w:line="240" w:lineRule="auto"/>
              <w:rPr>
                <w:iCs/>
                <w:sz w:val="22"/>
                <w:szCs w:val="22"/>
              </w:rPr>
            </w:pPr>
            <w:r w:rsidRPr="00E619A1">
              <w:rPr>
                <w:iCs/>
                <w:sz w:val="22"/>
                <w:szCs w:val="22"/>
              </w:rPr>
              <w:t>14,6</w:t>
            </w:r>
          </w:p>
        </w:tc>
      </w:tr>
      <w:tr w:rsidR="00953513" w:rsidRPr="00E619A1" w:rsidTr="00953513">
        <w:tc>
          <w:tcPr>
            <w:tcW w:w="4253" w:type="dxa"/>
          </w:tcPr>
          <w:p w:rsidR="00953513" w:rsidRPr="00E619A1" w:rsidRDefault="00953513" w:rsidP="00CC6165">
            <w:pPr>
              <w:pStyle w:val="Zkladntext"/>
              <w:spacing w:line="240" w:lineRule="auto"/>
              <w:rPr>
                <w:iCs/>
                <w:sz w:val="22"/>
                <w:szCs w:val="22"/>
              </w:rPr>
            </w:pPr>
            <w:r w:rsidRPr="00E619A1">
              <w:rPr>
                <w:iCs/>
                <w:sz w:val="22"/>
                <w:szCs w:val="22"/>
              </w:rPr>
              <w:t>Krádež věcí z auta</w:t>
            </w:r>
          </w:p>
        </w:tc>
        <w:tc>
          <w:tcPr>
            <w:tcW w:w="1417" w:type="dxa"/>
          </w:tcPr>
          <w:p w:rsidR="00953513" w:rsidRPr="00E619A1" w:rsidRDefault="00953513" w:rsidP="00CC6165">
            <w:pPr>
              <w:pStyle w:val="Zkladntext"/>
              <w:spacing w:line="240" w:lineRule="auto"/>
              <w:rPr>
                <w:iCs/>
                <w:sz w:val="22"/>
                <w:szCs w:val="22"/>
              </w:rPr>
            </w:pPr>
            <w:r w:rsidRPr="00E619A1">
              <w:rPr>
                <w:iCs/>
                <w:sz w:val="22"/>
                <w:szCs w:val="22"/>
              </w:rPr>
              <w:t xml:space="preserve">314   </w:t>
            </w:r>
          </w:p>
        </w:tc>
        <w:tc>
          <w:tcPr>
            <w:tcW w:w="1418" w:type="dxa"/>
          </w:tcPr>
          <w:p w:rsidR="00953513" w:rsidRPr="00E619A1" w:rsidRDefault="00953513" w:rsidP="00CC6165">
            <w:pPr>
              <w:pStyle w:val="Zkladntext"/>
              <w:spacing w:line="240" w:lineRule="auto"/>
              <w:rPr>
                <w:iCs/>
                <w:sz w:val="22"/>
                <w:szCs w:val="22"/>
              </w:rPr>
            </w:pPr>
            <w:r w:rsidRPr="00E619A1">
              <w:rPr>
                <w:iCs/>
                <w:sz w:val="22"/>
                <w:szCs w:val="22"/>
              </w:rPr>
              <w:t>10,5</w:t>
            </w:r>
          </w:p>
        </w:tc>
      </w:tr>
      <w:tr w:rsidR="00953513" w:rsidRPr="00E619A1" w:rsidTr="00953513">
        <w:tc>
          <w:tcPr>
            <w:tcW w:w="4253" w:type="dxa"/>
          </w:tcPr>
          <w:p w:rsidR="00953513" w:rsidRPr="00E619A1" w:rsidRDefault="00953513" w:rsidP="00CC6165">
            <w:pPr>
              <w:pStyle w:val="Zkladntext"/>
              <w:spacing w:line="240" w:lineRule="auto"/>
              <w:rPr>
                <w:iCs/>
                <w:sz w:val="22"/>
                <w:szCs w:val="22"/>
              </w:rPr>
            </w:pPr>
            <w:r w:rsidRPr="00E619A1">
              <w:rPr>
                <w:iCs/>
                <w:sz w:val="22"/>
                <w:szCs w:val="22"/>
              </w:rPr>
              <w:t>Vloupání do obydlí</w:t>
            </w:r>
          </w:p>
        </w:tc>
        <w:tc>
          <w:tcPr>
            <w:tcW w:w="1417" w:type="dxa"/>
          </w:tcPr>
          <w:p w:rsidR="00953513" w:rsidRPr="00E619A1" w:rsidRDefault="00953513" w:rsidP="00CC6165">
            <w:pPr>
              <w:pStyle w:val="Zkladntext"/>
              <w:spacing w:line="240" w:lineRule="auto"/>
              <w:rPr>
                <w:iCs/>
                <w:sz w:val="22"/>
                <w:szCs w:val="22"/>
              </w:rPr>
            </w:pPr>
            <w:r w:rsidRPr="00E619A1">
              <w:rPr>
                <w:iCs/>
                <w:sz w:val="22"/>
                <w:szCs w:val="22"/>
              </w:rPr>
              <w:t xml:space="preserve">258   </w:t>
            </w:r>
          </w:p>
        </w:tc>
        <w:tc>
          <w:tcPr>
            <w:tcW w:w="1418" w:type="dxa"/>
          </w:tcPr>
          <w:p w:rsidR="00953513" w:rsidRPr="00E619A1" w:rsidRDefault="00953513" w:rsidP="00CC6165">
            <w:pPr>
              <w:pStyle w:val="Zkladntext"/>
              <w:spacing w:line="240" w:lineRule="auto"/>
              <w:rPr>
                <w:iCs/>
                <w:sz w:val="22"/>
                <w:szCs w:val="22"/>
              </w:rPr>
            </w:pPr>
            <w:r w:rsidRPr="00E619A1">
              <w:rPr>
                <w:iCs/>
                <w:sz w:val="22"/>
                <w:szCs w:val="22"/>
              </w:rPr>
              <w:t>8,6</w:t>
            </w:r>
          </w:p>
        </w:tc>
      </w:tr>
      <w:tr w:rsidR="00953513" w:rsidRPr="00E619A1" w:rsidTr="00953513">
        <w:tc>
          <w:tcPr>
            <w:tcW w:w="4253" w:type="dxa"/>
          </w:tcPr>
          <w:p w:rsidR="00953513" w:rsidRPr="00E619A1" w:rsidRDefault="00953513" w:rsidP="00CC6165">
            <w:pPr>
              <w:pStyle w:val="Zkladntext"/>
              <w:spacing w:line="240" w:lineRule="auto"/>
              <w:rPr>
                <w:iCs/>
                <w:sz w:val="22"/>
                <w:szCs w:val="22"/>
              </w:rPr>
            </w:pPr>
            <w:r w:rsidRPr="00E619A1">
              <w:rPr>
                <w:iCs/>
                <w:sz w:val="22"/>
                <w:szCs w:val="22"/>
              </w:rPr>
              <w:t>Vážné vyhrožování fyzickým násilím (od cizí osoby)</w:t>
            </w:r>
          </w:p>
        </w:tc>
        <w:tc>
          <w:tcPr>
            <w:tcW w:w="1417" w:type="dxa"/>
          </w:tcPr>
          <w:p w:rsidR="00953513" w:rsidRPr="00E619A1" w:rsidRDefault="00953513" w:rsidP="00CC6165">
            <w:pPr>
              <w:pStyle w:val="Zkladntext"/>
              <w:spacing w:line="240" w:lineRule="auto"/>
              <w:rPr>
                <w:iCs/>
                <w:sz w:val="22"/>
                <w:szCs w:val="22"/>
              </w:rPr>
            </w:pPr>
            <w:r w:rsidRPr="00E619A1">
              <w:rPr>
                <w:iCs/>
                <w:sz w:val="22"/>
                <w:szCs w:val="22"/>
              </w:rPr>
              <w:t xml:space="preserve">190   </w:t>
            </w:r>
          </w:p>
        </w:tc>
        <w:tc>
          <w:tcPr>
            <w:tcW w:w="1418" w:type="dxa"/>
          </w:tcPr>
          <w:p w:rsidR="00953513" w:rsidRPr="00E619A1" w:rsidRDefault="00953513" w:rsidP="00CC6165">
            <w:pPr>
              <w:pStyle w:val="Zkladntext"/>
              <w:spacing w:line="240" w:lineRule="auto"/>
              <w:rPr>
                <w:iCs/>
                <w:sz w:val="22"/>
                <w:szCs w:val="22"/>
              </w:rPr>
            </w:pPr>
            <w:r w:rsidRPr="00E619A1">
              <w:rPr>
                <w:iCs/>
                <w:sz w:val="22"/>
                <w:szCs w:val="22"/>
              </w:rPr>
              <w:t xml:space="preserve">6,3   </w:t>
            </w:r>
          </w:p>
        </w:tc>
      </w:tr>
      <w:tr w:rsidR="00953513" w:rsidRPr="00E619A1" w:rsidTr="00953513">
        <w:tc>
          <w:tcPr>
            <w:tcW w:w="4253" w:type="dxa"/>
          </w:tcPr>
          <w:p w:rsidR="00953513" w:rsidRPr="00E619A1" w:rsidRDefault="00953513" w:rsidP="00CC6165">
            <w:pPr>
              <w:pStyle w:val="Zkladntext"/>
              <w:spacing w:line="240" w:lineRule="auto"/>
              <w:rPr>
                <w:iCs/>
                <w:sz w:val="22"/>
                <w:szCs w:val="22"/>
              </w:rPr>
            </w:pPr>
            <w:r w:rsidRPr="00E619A1">
              <w:rPr>
                <w:iCs/>
                <w:sz w:val="22"/>
                <w:szCs w:val="22"/>
              </w:rPr>
              <w:t>Vloupání do chaty/chalupy</w:t>
            </w:r>
          </w:p>
        </w:tc>
        <w:tc>
          <w:tcPr>
            <w:tcW w:w="1417" w:type="dxa"/>
          </w:tcPr>
          <w:p w:rsidR="00953513" w:rsidRPr="00E619A1" w:rsidRDefault="00953513" w:rsidP="00CC6165">
            <w:pPr>
              <w:pStyle w:val="Zkladntext"/>
              <w:spacing w:line="240" w:lineRule="auto"/>
              <w:rPr>
                <w:iCs/>
                <w:sz w:val="22"/>
                <w:szCs w:val="22"/>
              </w:rPr>
            </w:pPr>
            <w:r w:rsidRPr="00E619A1">
              <w:rPr>
                <w:iCs/>
                <w:sz w:val="22"/>
                <w:szCs w:val="22"/>
              </w:rPr>
              <w:t xml:space="preserve">170   </w:t>
            </w:r>
          </w:p>
        </w:tc>
        <w:tc>
          <w:tcPr>
            <w:tcW w:w="1418" w:type="dxa"/>
          </w:tcPr>
          <w:p w:rsidR="00953513" w:rsidRPr="00E619A1" w:rsidRDefault="00953513" w:rsidP="00CC6165">
            <w:pPr>
              <w:pStyle w:val="Zkladntext"/>
              <w:spacing w:line="240" w:lineRule="auto"/>
              <w:rPr>
                <w:iCs/>
                <w:strike/>
                <w:sz w:val="22"/>
                <w:szCs w:val="22"/>
              </w:rPr>
            </w:pPr>
            <w:r w:rsidRPr="00E619A1">
              <w:rPr>
                <w:iCs/>
                <w:sz w:val="22"/>
                <w:szCs w:val="22"/>
              </w:rPr>
              <w:t>5,7</w:t>
            </w:r>
          </w:p>
        </w:tc>
      </w:tr>
      <w:tr w:rsidR="00953513" w:rsidRPr="00E619A1" w:rsidTr="00953513">
        <w:tc>
          <w:tcPr>
            <w:tcW w:w="4253" w:type="dxa"/>
          </w:tcPr>
          <w:p w:rsidR="00953513" w:rsidRPr="00E619A1" w:rsidRDefault="00953513" w:rsidP="00CC6165">
            <w:pPr>
              <w:pStyle w:val="Zkladntext"/>
              <w:spacing w:line="240" w:lineRule="auto"/>
              <w:rPr>
                <w:iCs/>
                <w:sz w:val="22"/>
                <w:szCs w:val="22"/>
              </w:rPr>
            </w:pPr>
            <w:r w:rsidRPr="00E619A1">
              <w:rPr>
                <w:iCs/>
                <w:sz w:val="22"/>
                <w:szCs w:val="22"/>
              </w:rPr>
              <w:t>Fyzické napadení (od cizí osoby, bez snahy okrást)</w:t>
            </w:r>
          </w:p>
        </w:tc>
        <w:tc>
          <w:tcPr>
            <w:tcW w:w="1417" w:type="dxa"/>
          </w:tcPr>
          <w:p w:rsidR="00953513" w:rsidRPr="00E619A1" w:rsidRDefault="00953513" w:rsidP="00CC6165">
            <w:pPr>
              <w:pStyle w:val="Zkladntext"/>
              <w:spacing w:line="240" w:lineRule="auto"/>
              <w:rPr>
                <w:iCs/>
                <w:sz w:val="22"/>
                <w:szCs w:val="22"/>
              </w:rPr>
            </w:pPr>
            <w:r w:rsidRPr="00E619A1">
              <w:rPr>
                <w:iCs/>
                <w:sz w:val="22"/>
                <w:szCs w:val="22"/>
              </w:rPr>
              <w:t xml:space="preserve">110   </w:t>
            </w:r>
          </w:p>
        </w:tc>
        <w:tc>
          <w:tcPr>
            <w:tcW w:w="1418" w:type="dxa"/>
          </w:tcPr>
          <w:p w:rsidR="00953513" w:rsidRPr="00E619A1" w:rsidRDefault="00953513" w:rsidP="00CC6165">
            <w:pPr>
              <w:pStyle w:val="Zkladntext"/>
              <w:spacing w:line="240" w:lineRule="auto"/>
              <w:rPr>
                <w:iCs/>
                <w:sz w:val="22"/>
                <w:szCs w:val="22"/>
              </w:rPr>
            </w:pPr>
            <w:r w:rsidRPr="00E619A1">
              <w:rPr>
                <w:iCs/>
                <w:sz w:val="22"/>
                <w:szCs w:val="22"/>
              </w:rPr>
              <w:t>3,7</w:t>
            </w:r>
          </w:p>
        </w:tc>
      </w:tr>
      <w:tr w:rsidR="00953513" w:rsidRPr="00E619A1" w:rsidTr="00953513">
        <w:tc>
          <w:tcPr>
            <w:tcW w:w="4253" w:type="dxa"/>
          </w:tcPr>
          <w:p w:rsidR="00953513" w:rsidRPr="00E619A1" w:rsidRDefault="00953513" w:rsidP="00CC6165">
            <w:pPr>
              <w:pStyle w:val="Zkladntext"/>
              <w:spacing w:line="240" w:lineRule="auto"/>
              <w:rPr>
                <w:iCs/>
                <w:sz w:val="22"/>
                <w:szCs w:val="22"/>
              </w:rPr>
            </w:pPr>
            <w:r w:rsidRPr="00E619A1">
              <w:rPr>
                <w:iCs/>
                <w:sz w:val="22"/>
                <w:szCs w:val="22"/>
              </w:rPr>
              <w:t>Krádež za použití násilí</w:t>
            </w:r>
            <w:r w:rsidR="00673FB4">
              <w:rPr>
                <w:iCs/>
                <w:sz w:val="22"/>
                <w:szCs w:val="22"/>
              </w:rPr>
              <w:t>,</w:t>
            </w:r>
            <w:r w:rsidRPr="00E619A1">
              <w:rPr>
                <w:iCs/>
                <w:sz w:val="22"/>
                <w:szCs w:val="22"/>
              </w:rPr>
              <w:t xml:space="preserve"> vč. hrozby násilím (loupež)</w:t>
            </w:r>
          </w:p>
        </w:tc>
        <w:tc>
          <w:tcPr>
            <w:tcW w:w="1417" w:type="dxa"/>
          </w:tcPr>
          <w:p w:rsidR="00953513" w:rsidRPr="00E619A1" w:rsidRDefault="00953513" w:rsidP="00CC6165">
            <w:pPr>
              <w:pStyle w:val="Zkladntext"/>
              <w:spacing w:line="240" w:lineRule="auto"/>
              <w:rPr>
                <w:iCs/>
                <w:sz w:val="22"/>
                <w:szCs w:val="22"/>
              </w:rPr>
            </w:pPr>
            <w:r w:rsidRPr="00E619A1">
              <w:rPr>
                <w:iCs/>
                <w:sz w:val="22"/>
                <w:szCs w:val="22"/>
              </w:rPr>
              <w:t xml:space="preserve">93    </w:t>
            </w:r>
          </w:p>
        </w:tc>
        <w:tc>
          <w:tcPr>
            <w:tcW w:w="1418" w:type="dxa"/>
          </w:tcPr>
          <w:p w:rsidR="00953513" w:rsidRPr="00E619A1" w:rsidRDefault="00953513" w:rsidP="00CC6165">
            <w:pPr>
              <w:pStyle w:val="Zkladntext"/>
              <w:spacing w:line="240" w:lineRule="auto"/>
              <w:rPr>
                <w:iCs/>
                <w:sz w:val="22"/>
                <w:szCs w:val="22"/>
              </w:rPr>
            </w:pPr>
            <w:r w:rsidRPr="00E619A1">
              <w:rPr>
                <w:iCs/>
                <w:sz w:val="22"/>
                <w:szCs w:val="22"/>
              </w:rPr>
              <w:t xml:space="preserve">3,1   </w:t>
            </w:r>
          </w:p>
        </w:tc>
      </w:tr>
      <w:tr w:rsidR="00953513" w:rsidRPr="00E619A1" w:rsidTr="00953513">
        <w:tc>
          <w:tcPr>
            <w:tcW w:w="4253" w:type="dxa"/>
          </w:tcPr>
          <w:p w:rsidR="00953513" w:rsidRPr="00E619A1" w:rsidRDefault="00953513" w:rsidP="00CC6165">
            <w:pPr>
              <w:pStyle w:val="Zkladntext"/>
              <w:spacing w:line="240" w:lineRule="auto"/>
              <w:rPr>
                <w:iCs/>
                <w:sz w:val="22"/>
                <w:szCs w:val="22"/>
              </w:rPr>
            </w:pPr>
            <w:r w:rsidRPr="00E619A1">
              <w:rPr>
                <w:iCs/>
                <w:sz w:val="22"/>
                <w:szCs w:val="22"/>
              </w:rPr>
              <w:t>Krádež auta</w:t>
            </w:r>
          </w:p>
        </w:tc>
        <w:tc>
          <w:tcPr>
            <w:tcW w:w="1417" w:type="dxa"/>
          </w:tcPr>
          <w:p w:rsidR="00953513" w:rsidRPr="00E619A1" w:rsidRDefault="00953513" w:rsidP="00CC6165">
            <w:pPr>
              <w:pStyle w:val="Zkladntext"/>
              <w:spacing w:line="240" w:lineRule="auto"/>
              <w:rPr>
                <w:iCs/>
                <w:sz w:val="22"/>
                <w:szCs w:val="22"/>
              </w:rPr>
            </w:pPr>
            <w:r w:rsidRPr="00E619A1">
              <w:rPr>
                <w:iCs/>
                <w:sz w:val="22"/>
                <w:szCs w:val="22"/>
              </w:rPr>
              <w:t xml:space="preserve">69    </w:t>
            </w:r>
          </w:p>
        </w:tc>
        <w:tc>
          <w:tcPr>
            <w:tcW w:w="1418" w:type="dxa"/>
          </w:tcPr>
          <w:p w:rsidR="00953513" w:rsidRPr="00E619A1" w:rsidRDefault="00953513" w:rsidP="00CC6165">
            <w:pPr>
              <w:pStyle w:val="Zkladntext"/>
              <w:spacing w:line="240" w:lineRule="auto"/>
              <w:rPr>
                <w:iCs/>
                <w:sz w:val="22"/>
                <w:szCs w:val="22"/>
              </w:rPr>
            </w:pPr>
            <w:r w:rsidRPr="00E619A1">
              <w:rPr>
                <w:iCs/>
                <w:sz w:val="22"/>
                <w:szCs w:val="22"/>
              </w:rPr>
              <w:t xml:space="preserve">2,3   </w:t>
            </w:r>
          </w:p>
        </w:tc>
      </w:tr>
    </w:tbl>
    <w:p w:rsidR="00953513" w:rsidRDefault="00953513" w:rsidP="002B7DF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619A1" w:rsidRPr="00E619A1" w:rsidRDefault="00E619A1" w:rsidP="002B7DF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B7DFC" w:rsidRPr="00F51EDF" w:rsidRDefault="00E619A1" w:rsidP="00E61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sym w:font="Symbol" w:char="F0B7"/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Obrátíme-li pozornost k získaným údajům o </w:t>
      </w:r>
      <w:r w:rsidRPr="00D9496B">
        <w:rPr>
          <w:rFonts w:ascii="Times New Roman" w:hAnsi="Times New Roman" w:cs="Times New Roman"/>
          <w:sz w:val="24"/>
          <w:szCs w:val="24"/>
          <w:u w:val="single"/>
        </w:rPr>
        <w:t>opakované viktimizaci tím samým</w:t>
      </w:r>
      <w:r w:rsidRPr="00F51EDF">
        <w:rPr>
          <w:rFonts w:ascii="Times New Roman" w:hAnsi="Times New Roman" w:cs="Times New Roman"/>
          <w:sz w:val="24"/>
          <w:szCs w:val="24"/>
        </w:rPr>
        <w:t xml:space="preserve"> </w:t>
      </w:r>
      <w:r w:rsidRPr="00D9496B">
        <w:rPr>
          <w:rFonts w:ascii="Times New Roman" w:hAnsi="Times New Roman" w:cs="Times New Roman"/>
          <w:sz w:val="24"/>
          <w:szCs w:val="24"/>
          <w:u w:val="single"/>
        </w:rPr>
        <w:t xml:space="preserve">deliktem </w:t>
      </w:r>
      <w:r w:rsidRPr="00F51EDF">
        <w:rPr>
          <w:rFonts w:ascii="Times New Roman" w:hAnsi="Times New Roman" w:cs="Times New Roman"/>
          <w:sz w:val="24"/>
          <w:szCs w:val="24"/>
        </w:rPr>
        <w:t xml:space="preserve">(přitom výraz opakovaně zde znamená vícekrát než jednou), bylo evidentní, že </w:t>
      </w:r>
      <w:r w:rsidRPr="00F22BAA">
        <w:rPr>
          <w:rFonts w:ascii="Times New Roman" w:hAnsi="Times New Roman" w:cs="Times New Roman"/>
          <w:sz w:val="24"/>
          <w:szCs w:val="24"/>
        </w:rPr>
        <w:t xml:space="preserve">opakovaná </w:t>
      </w:r>
      <w:r w:rsidR="002B7DFC" w:rsidRPr="00F22BAA">
        <w:rPr>
          <w:rFonts w:ascii="Times New Roman" w:hAnsi="Times New Roman" w:cs="Times New Roman"/>
          <w:sz w:val="24"/>
          <w:szCs w:val="24"/>
        </w:rPr>
        <w:t>viktimizace tím samým deliktem, s výjimkou deliktu vyhrožování fyzickým násilím</w:t>
      </w:r>
      <w:r w:rsidR="00BB70BC">
        <w:rPr>
          <w:rFonts w:ascii="Times New Roman" w:hAnsi="Times New Roman" w:cs="Times New Roman"/>
          <w:sz w:val="24"/>
          <w:szCs w:val="24"/>
        </w:rPr>
        <w:t xml:space="preserve"> od cizí osoby</w:t>
      </w:r>
      <w:r w:rsidR="002B7DFC" w:rsidRPr="00F22BAA">
        <w:rPr>
          <w:rFonts w:ascii="Times New Roman" w:hAnsi="Times New Roman" w:cs="Times New Roman"/>
          <w:sz w:val="24"/>
          <w:szCs w:val="24"/>
        </w:rPr>
        <w:t xml:space="preserve">, kde </w:t>
      </w:r>
      <w:proofErr w:type="spellStart"/>
      <w:r w:rsidR="002B7DFC" w:rsidRPr="00F22BAA">
        <w:rPr>
          <w:rFonts w:ascii="Times New Roman" w:hAnsi="Times New Roman" w:cs="Times New Roman"/>
          <w:sz w:val="24"/>
          <w:szCs w:val="24"/>
        </w:rPr>
        <w:t>reviktimizace</w:t>
      </w:r>
      <w:proofErr w:type="spellEnd"/>
      <w:r w:rsidR="002B7DFC" w:rsidRPr="00F22BAA">
        <w:rPr>
          <w:rFonts w:ascii="Times New Roman" w:hAnsi="Times New Roman" w:cs="Times New Roman"/>
          <w:sz w:val="24"/>
          <w:szCs w:val="24"/>
        </w:rPr>
        <w:t xml:space="preserve"> činila zhruba 42 %, byla u</w:t>
      </w:r>
      <w:r w:rsidR="002B7DFC" w:rsidRPr="00F51EDF">
        <w:rPr>
          <w:rFonts w:ascii="Times New Roman" w:hAnsi="Times New Roman" w:cs="Times New Roman"/>
          <w:sz w:val="24"/>
          <w:szCs w:val="24"/>
        </w:rPr>
        <w:t xml:space="preserve"> ostatních deliktů přece jen nižší.  </w:t>
      </w:r>
      <w:r w:rsidR="00E21C6A">
        <w:rPr>
          <w:rFonts w:ascii="Times New Roman" w:hAnsi="Times New Roman" w:cs="Times New Roman"/>
          <w:sz w:val="24"/>
          <w:szCs w:val="24"/>
        </w:rPr>
        <w:t>O</w:t>
      </w:r>
      <w:r w:rsidR="002B7DFC" w:rsidRPr="00F51EDF">
        <w:rPr>
          <w:rFonts w:ascii="Times New Roman" w:hAnsi="Times New Roman" w:cs="Times New Roman"/>
          <w:sz w:val="24"/>
          <w:szCs w:val="24"/>
        </w:rPr>
        <w:t xml:space="preserve">pakovanými oběťmi téhož deliktu </w:t>
      </w:r>
      <w:r w:rsidR="00E21C6A">
        <w:rPr>
          <w:rFonts w:ascii="Times New Roman" w:hAnsi="Times New Roman" w:cs="Times New Roman"/>
          <w:sz w:val="24"/>
          <w:szCs w:val="24"/>
        </w:rPr>
        <w:t xml:space="preserve">se </w:t>
      </w:r>
      <w:r w:rsidR="002B7DFC" w:rsidRPr="00F51EDF">
        <w:rPr>
          <w:rFonts w:ascii="Times New Roman" w:hAnsi="Times New Roman" w:cs="Times New Roman"/>
          <w:sz w:val="24"/>
          <w:szCs w:val="24"/>
        </w:rPr>
        <w:t>staly, a to z 28 %, osoby, kterým se někdo vloupal do rekreační chaty nebo chalupy</w:t>
      </w:r>
      <w:r w:rsidR="002B7DFC">
        <w:rPr>
          <w:rFonts w:ascii="Times New Roman" w:hAnsi="Times New Roman" w:cs="Times New Roman"/>
          <w:sz w:val="24"/>
          <w:szCs w:val="24"/>
        </w:rPr>
        <w:t>.</w:t>
      </w:r>
      <w:r w:rsidR="002B7DFC" w:rsidRPr="00F51EDF">
        <w:rPr>
          <w:rFonts w:ascii="Times New Roman" w:hAnsi="Times New Roman" w:cs="Times New Roman"/>
          <w:sz w:val="24"/>
          <w:szCs w:val="24"/>
        </w:rPr>
        <w:t xml:space="preserve"> Dále se asi ze čtvrtiny staly obě</w:t>
      </w:r>
      <w:r w:rsidR="002B7DFC">
        <w:rPr>
          <w:rFonts w:ascii="Times New Roman" w:hAnsi="Times New Roman" w:cs="Times New Roman"/>
          <w:sz w:val="24"/>
          <w:szCs w:val="24"/>
        </w:rPr>
        <w:t>ťmi</w:t>
      </w:r>
      <w:r w:rsidR="002B7DFC" w:rsidRPr="00F51EDF">
        <w:rPr>
          <w:rFonts w:ascii="Times New Roman" w:hAnsi="Times New Roman" w:cs="Times New Roman"/>
          <w:sz w:val="24"/>
          <w:szCs w:val="24"/>
        </w:rPr>
        <w:t xml:space="preserve"> opakované viktimizace během jednoročního období osoby, které někdo cizí fyzicky napadl</w:t>
      </w:r>
      <w:r w:rsidR="002B7DFC">
        <w:rPr>
          <w:rFonts w:ascii="Times New Roman" w:hAnsi="Times New Roman" w:cs="Times New Roman"/>
          <w:sz w:val="24"/>
          <w:szCs w:val="24"/>
        </w:rPr>
        <w:t>,</w:t>
      </w:r>
      <w:r w:rsidR="002B7DFC" w:rsidRPr="00F51EDF">
        <w:rPr>
          <w:rFonts w:ascii="Times New Roman" w:hAnsi="Times New Roman" w:cs="Times New Roman"/>
          <w:sz w:val="24"/>
          <w:szCs w:val="24"/>
        </w:rPr>
        <w:t xml:space="preserve"> a osoby, kterým se někdo vloupal do obydlí (první </w:t>
      </w:r>
      <w:r w:rsidR="002B7DFC" w:rsidRPr="00E8333A">
        <w:rPr>
          <w:rFonts w:ascii="Times New Roman" w:hAnsi="Times New Roman" w:cs="Times New Roman"/>
          <w:sz w:val="24"/>
          <w:szCs w:val="24"/>
        </w:rPr>
        <w:t xml:space="preserve">26 %, druhé 23 %).  Asi pětina obětí krádeže za použití násilí či výhrůžky násilím (loupeže) a krádeží věcí z auta se také stala oběťmi téhož deliktu opakovaně (v prvním případě 22 %, v druhém 21 %). Zhruba 15 % obětí krádeže osobních věcí a krádeže auta se stalo opakovanými oběťmi </w:t>
      </w:r>
      <w:r w:rsidR="002B7DFC" w:rsidRPr="00F51EDF">
        <w:rPr>
          <w:rFonts w:ascii="Times New Roman" w:hAnsi="Times New Roman" w:cs="Times New Roman"/>
          <w:sz w:val="24"/>
          <w:szCs w:val="24"/>
        </w:rPr>
        <w:t>těchto deliktů.</w:t>
      </w:r>
    </w:p>
    <w:p w:rsidR="00653DF4" w:rsidRPr="0082150F" w:rsidRDefault="00E21C6A" w:rsidP="00653DF4">
      <w:pPr>
        <w:pStyle w:val="Zkladntext"/>
        <w:rPr>
          <w:iCs/>
        </w:rPr>
      </w:pPr>
      <w:r>
        <w:rPr>
          <w:iCs/>
        </w:rPr>
        <w:t xml:space="preserve">        </w:t>
      </w:r>
      <w:r w:rsidR="00653DF4" w:rsidRPr="00D960EB">
        <w:rPr>
          <w:iCs/>
        </w:rPr>
        <w:t xml:space="preserve">Pokud byly srovnávány hodnoty </w:t>
      </w:r>
      <w:proofErr w:type="spellStart"/>
      <w:r w:rsidR="00653DF4" w:rsidRPr="00D960EB">
        <w:rPr>
          <w:iCs/>
        </w:rPr>
        <w:t>reviktimizace</w:t>
      </w:r>
      <w:proofErr w:type="spellEnd"/>
      <w:r w:rsidR="00653DF4" w:rsidRPr="00D960EB">
        <w:rPr>
          <w:iCs/>
        </w:rPr>
        <w:t xml:space="preserve">  u jednotlivých sledovaných osmi deliktů za roky 2010 a 2013, nebyly v údajích nalezeny statisticky významné rozdíly, s výjimkou vloupání do obydlí, kde opakovaná viktimizace vzrostla v roce 2013 oproti roku 2010, a to zhruba dvojnásobně</w:t>
      </w:r>
      <w:r w:rsidR="00653DF4" w:rsidRPr="0082150F">
        <w:rPr>
          <w:iCs/>
        </w:rPr>
        <w:t xml:space="preserve">. (V roce 2010 se jednalo o 11 % obětí opakovaného vloupání do obydlí, v roce 2013 se jednalo o 23 % obětí opakovaného vloupání do obydlí.)  </w:t>
      </w:r>
    </w:p>
    <w:p w:rsidR="00653DF4" w:rsidRDefault="00653DF4" w:rsidP="002B7DFC">
      <w:pPr>
        <w:pStyle w:val="Zkladntext"/>
      </w:pPr>
    </w:p>
    <w:p w:rsidR="002B7DFC" w:rsidRPr="002C309C" w:rsidRDefault="002B7DFC" w:rsidP="002B7DFC">
      <w:pPr>
        <w:pStyle w:val="Zkladntext"/>
        <w:rPr>
          <w:iCs/>
        </w:rPr>
      </w:pPr>
      <w:r>
        <w:rPr>
          <w:iCs/>
        </w:rPr>
        <w:lastRenderedPageBreak/>
        <w:t xml:space="preserve"> </w:t>
      </w:r>
      <w:r w:rsidR="00E21C6A">
        <w:sym w:font="Symbol" w:char="F0B7"/>
      </w:r>
      <w:r w:rsidR="00E21C6A">
        <w:t xml:space="preserve"> </w:t>
      </w:r>
      <w:r w:rsidR="00190589">
        <w:t xml:space="preserve"> </w:t>
      </w:r>
      <w:r w:rsidR="004200CC">
        <w:t xml:space="preserve">K </w:t>
      </w:r>
      <w:r w:rsidR="00E21C6A" w:rsidRPr="00562605">
        <w:rPr>
          <w:u w:val="single"/>
        </w:rPr>
        <w:t>ne</w:t>
      </w:r>
      <w:r w:rsidR="004200CC" w:rsidRPr="00562605">
        <w:rPr>
          <w:u w:val="single"/>
        </w:rPr>
        <w:t>oznamování</w:t>
      </w:r>
      <w:r w:rsidR="00E21C6A">
        <w:t xml:space="preserve"> deliktu, který jedince postihl, </w:t>
      </w:r>
      <w:r w:rsidR="00E21C6A" w:rsidRPr="00562605">
        <w:rPr>
          <w:u w:val="single"/>
        </w:rPr>
        <w:t>na policii</w:t>
      </w:r>
      <w:r w:rsidR="004200CC">
        <w:t xml:space="preserve"> lze říci následující. </w:t>
      </w:r>
      <w:r w:rsidR="00E21C6A">
        <w:t xml:space="preserve"> </w:t>
      </w:r>
      <w:r>
        <w:t>V</w:t>
      </w:r>
      <w:r w:rsidRPr="000E201B">
        <w:t xml:space="preserve"> některých případech množství deliktů, jejichž obětí se respondenti stali a policii je </w:t>
      </w:r>
      <w:r w:rsidRPr="00A679A1">
        <w:t>nenahlásili, je</w:t>
      </w:r>
      <w:r w:rsidRPr="000E201B">
        <w:t xml:space="preserve"> </w:t>
      </w:r>
      <w:r>
        <w:t xml:space="preserve">překvapivě </w:t>
      </w:r>
      <w:r w:rsidRPr="000E201B">
        <w:t>značné</w:t>
      </w:r>
      <w:r>
        <w:t xml:space="preserve">.  Bylo zjištěno, že </w:t>
      </w:r>
      <w:r w:rsidRPr="000E201B">
        <w:t xml:space="preserve">o </w:t>
      </w:r>
      <w:r>
        <w:t>59 %</w:t>
      </w:r>
      <w:r w:rsidRPr="000E201B">
        <w:t xml:space="preserve"> </w:t>
      </w:r>
      <w:r>
        <w:t>krádeží s použitím násilí (</w:t>
      </w:r>
      <w:r w:rsidRPr="000E201B">
        <w:t>loupežn</w:t>
      </w:r>
      <w:r>
        <w:t>á</w:t>
      </w:r>
      <w:r w:rsidRPr="000E201B">
        <w:t xml:space="preserve"> přepadení</w:t>
      </w:r>
      <w:r>
        <w:t>)</w:t>
      </w:r>
      <w:r w:rsidRPr="000E201B">
        <w:t xml:space="preserve"> a o </w:t>
      </w:r>
      <w:r>
        <w:t>63 %</w:t>
      </w:r>
      <w:r w:rsidRPr="000E201B">
        <w:t xml:space="preserve"> krádeží osobních věcí </w:t>
      </w:r>
      <w:r>
        <w:t xml:space="preserve">bez použití násilí </w:t>
      </w:r>
      <w:r w:rsidRPr="000E201B">
        <w:t xml:space="preserve">se policie </w:t>
      </w:r>
      <w:r>
        <w:t xml:space="preserve">od obětí </w:t>
      </w:r>
      <w:r w:rsidRPr="000E201B">
        <w:t xml:space="preserve">nedozvěděla. Nedozvěděla se ani o </w:t>
      </w:r>
      <w:r>
        <w:t>77</w:t>
      </w:r>
      <w:r w:rsidRPr="000E201B">
        <w:t xml:space="preserve"> % případů fyzického napadení od cizí osoby a ani o </w:t>
      </w:r>
      <w:r w:rsidRPr="00A63E78">
        <w:t xml:space="preserve">84 % </w:t>
      </w:r>
      <w:r>
        <w:t xml:space="preserve">případů </w:t>
      </w:r>
      <w:r w:rsidRPr="00A63E78">
        <w:t>vyhrožování</w:t>
      </w:r>
      <w:r w:rsidRPr="000E201B">
        <w:t xml:space="preserve"> fyzickým násilím od cizí osoby</w:t>
      </w:r>
      <w:r>
        <w:t xml:space="preserve">. </w:t>
      </w:r>
      <w:r w:rsidRPr="000E201B">
        <w:t xml:space="preserve"> </w:t>
      </w:r>
      <w:r w:rsidRPr="002C309C">
        <w:t xml:space="preserve">Přitom v posledních dvou případech se jednalo o delikty, kterými dotázané osoby byly </w:t>
      </w:r>
      <w:proofErr w:type="spellStart"/>
      <w:r w:rsidRPr="002C309C">
        <w:t>viktimizovány</w:t>
      </w:r>
      <w:proofErr w:type="spellEnd"/>
      <w:r w:rsidRPr="002C309C">
        <w:t xml:space="preserve"> </w:t>
      </w:r>
      <w:proofErr w:type="gramStart"/>
      <w:r w:rsidRPr="002C309C">
        <w:t>značně i  opakovaně</w:t>
      </w:r>
      <w:proofErr w:type="gramEnd"/>
      <w:r w:rsidRPr="002C309C">
        <w:t xml:space="preserve">. </w:t>
      </w:r>
    </w:p>
    <w:p w:rsidR="002B7DFC" w:rsidRPr="000E201B" w:rsidRDefault="002B7DFC" w:rsidP="002B7DF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Dále b</w:t>
      </w:r>
      <w:r w:rsidRPr="00B8048F">
        <w:rPr>
          <w:rFonts w:ascii="Times New Roman" w:hAnsi="Times New Roman" w:cs="Times New Roman"/>
          <w:iCs/>
          <w:sz w:val="24"/>
          <w:szCs w:val="24"/>
        </w:rPr>
        <w:t xml:space="preserve">ylo </w:t>
      </w:r>
      <w:r>
        <w:rPr>
          <w:rFonts w:ascii="Times New Roman" w:hAnsi="Times New Roman" w:cs="Times New Roman"/>
          <w:iCs/>
          <w:sz w:val="24"/>
          <w:szCs w:val="24"/>
        </w:rPr>
        <w:t>zjištěno,</w:t>
      </w:r>
      <w:r w:rsidRPr="000E201B">
        <w:rPr>
          <w:rFonts w:ascii="Times New Roman" w:hAnsi="Times New Roman" w:cs="Times New Roman"/>
          <w:sz w:val="24"/>
          <w:szCs w:val="24"/>
        </w:rPr>
        <w:t xml:space="preserve"> že s výjimkou krádeží auta, které téměř všechny byly poškozenými osobami nahlášeny policii </w:t>
      </w:r>
      <w:r w:rsidRPr="00A63E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nenahlásila je jen </w:t>
      </w:r>
      <w:r w:rsidRPr="00A63E78">
        <w:rPr>
          <w:rFonts w:ascii="Times New Roman" w:hAnsi="Times New Roman" w:cs="Times New Roman"/>
          <w:sz w:val="24"/>
          <w:szCs w:val="24"/>
        </w:rPr>
        <w:t>3 %</w:t>
      </w:r>
      <w:r>
        <w:rPr>
          <w:rFonts w:ascii="Times New Roman" w:hAnsi="Times New Roman" w:cs="Times New Roman"/>
          <w:sz w:val="24"/>
          <w:szCs w:val="24"/>
        </w:rPr>
        <w:t xml:space="preserve"> respondentů</w:t>
      </w:r>
      <w:r w:rsidRPr="00A63E78">
        <w:rPr>
          <w:rFonts w:ascii="Times New Roman" w:hAnsi="Times New Roman" w:cs="Times New Roman"/>
          <w:sz w:val="24"/>
          <w:szCs w:val="24"/>
        </w:rPr>
        <w:t>),</w:t>
      </w:r>
      <w:r w:rsidRPr="000E201B">
        <w:rPr>
          <w:rFonts w:ascii="Times New Roman" w:hAnsi="Times New Roman" w:cs="Times New Roman"/>
          <w:sz w:val="24"/>
          <w:szCs w:val="24"/>
        </w:rPr>
        <w:t xml:space="preserve"> pak krádeže věcí z auta </w:t>
      </w:r>
      <w:r w:rsidRPr="00032255">
        <w:rPr>
          <w:rFonts w:ascii="Times New Roman" w:hAnsi="Times New Roman" w:cs="Times New Roman"/>
          <w:sz w:val="24"/>
          <w:szCs w:val="24"/>
        </w:rPr>
        <w:t>nebyly hlášeny policii</w:t>
      </w:r>
      <w:r w:rsidRPr="000E201B">
        <w:rPr>
          <w:rFonts w:ascii="Times New Roman" w:hAnsi="Times New Roman" w:cs="Times New Roman"/>
          <w:sz w:val="24"/>
          <w:szCs w:val="24"/>
        </w:rPr>
        <w:t xml:space="preserve"> zhruba z pětiny </w:t>
      </w:r>
      <w:r w:rsidRPr="00A63E78">
        <w:rPr>
          <w:rFonts w:ascii="Times New Roman" w:hAnsi="Times New Roman" w:cs="Times New Roman"/>
          <w:sz w:val="24"/>
          <w:szCs w:val="24"/>
        </w:rPr>
        <w:t xml:space="preserve">(22 %). </w:t>
      </w:r>
      <w:r w:rsidRPr="000E201B">
        <w:rPr>
          <w:rFonts w:ascii="Times New Roman" w:hAnsi="Times New Roman" w:cs="Times New Roman"/>
          <w:sz w:val="24"/>
          <w:szCs w:val="24"/>
        </w:rPr>
        <w:t xml:space="preserve">A zhruba ze čtvrtiny nebyly polici nenahlášeny případy vloupání do obydlí </w:t>
      </w:r>
      <w:r w:rsidRPr="00A63E78">
        <w:rPr>
          <w:rFonts w:ascii="Times New Roman" w:hAnsi="Times New Roman" w:cs="Times New Roman"/>
          <w:sz w:val="24"/>
          <w:szCs w:val="24"/>
        </w:rPr>
        <w:t>(26 %)</w:t>
      </w:r>
      <w:r w:rsidRPr="000E201B">
        <w:rPr>
          <w:rFonts w:ascii="Times New Roman" w:hAnsi="Times New Roman" w:cs="Times New Roman"/>
          <w:sz w:val="24"/>
          <w:szCs w:val="24"/>
        </w:rPr>
        <w:t xml:space="preserve"> a také vloupání do chaty/chalupy </w:t>
      </w:r>
      <w:r w:rsidRPr="00A63E7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63E78">
        <w:rPr>
          <w:rFonts w:ascii="Times New Roman" w:hAnsi="Times New Roman" w:cs="Times New Roman"/>
          <w:sz w:val="24"/>
          <w:szCs w:val="24"/>
        </w:rPr>
        <w:t>23 % ).</w:t>
      </w:r>
      <w:proofErr w:type="gramEnd"/>
      <w:r w:rsidRPr="000E201B">
        <w:rPr>
          <w:rFonts w:ascii="Times New Roman" w:hAnsi="Times New Roman" w:cs="Times New Roman"/>
          <w:sz w:val="24"/>
          <w:szCs w:val="24"/>
        </w:rPr>
        <w:t xml:space="preserve"> </w:t>
      </w:r>
      <w:r w:rsidRPr="000E201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0A58" w:rsidRPr="00EE10C3" w:rsidRDefault="002B7DFC" w:rsidP="005D0A5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01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0A58" w:rsidRPr="00EE10C3">
        <w:rPr>
          <w:rFonts w:ascii="Times New Roman" w:hAnsi="Times New Roman" w:cs="Times New Roman"/>
          <w:sz w:val="24"/>
          <w:szCs w:val="24"/>
        </w:rPr>
        <w:t>Ze srovnání dat z obou výzkumů z let 2010 a 2013 vyplynulo, že míry policii neohlášených, tedy latentních deliktů, se statisticky významně nelišily. Policie se tak v České republice s odstupem tří let, tj. během roku 2010 a 2013, dozvídala od obyvatel o jejich zasažení jednotlivými zkoumanými delikty v podobné míře.</w:t>
      </w:r>
    </w:p>
    <w:p w:rsidR="005D0A58" w:rsidRDefault="005D0A58" w:rsidP="002B7D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5E8" w:rsidRDefault="00BD35E8" w:rsidP="002B7D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5E8" w:rsidRDefault="00BD35E8" w:rsidP="002B7D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5E8" w:rsidRDefault="00BD35E8" w:rsidP="002B7D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5E8" w:rsidRDefault="00BD35E8" w:rsidP="002B7D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5E8" w:rsidRDefault="00BD35E8" w:rsidP="002B7D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5E8" w:rsidRDefault="00BD35E8" w:rsidP="002B7D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5E8" w:rsidRDefault="00BD35E8" w:rsidP="002B7D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5E8" w:rsidRDefault="00BD35E8" w:rsidP="002B7D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5E8" w:rsidRDefault="00BD35E8" w:rsidP="002B7D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5E8" w:rsidRDefault="00BD35E8" w:rsidP="002B7D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5E8" w:rsidRDefault="00BD35E8" w:rsidP="002B7D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5E8" w:rsidRDefault="00BD35E8" w:rsidP="002B7D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5E8" w:rsidRDefault="00BD35E8" w:rsidP="002B7D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5E8" w:rsidRDefault="00BD35E8" w:rsidP="002B7D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5E8" w:rsidRDefault="00BD35E8" w:rsidP="002B7D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5E8" w:rsidRDefault="00BD35E8" w:rsidP="002B7D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5E8" w:rsidRDefault="00BD35E8" w:rsidP="002B7D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5E8" w:rsidRDefault="00BD35E8" w:rsidP="002B7D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5E8" w:rsidRDefault="00BD35E8" w:rsidP="002B7D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5E8" w:rsidRDefault="00BD35E8" w:rsidP="002B7D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35E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8A" w:rsidRDefault="00456B8A" w:rsidP="00BF57CD">
      <w:pPr>
        <w:spacing w:after="0" w:line="240" w:lineRule="auto"/>
      </w:pPr>
      <w:r>
        <w:separator/>
      </w:r>
    </w:p>
  </w:endnote>
  <w:endnote w:type="continuationSeparator" w:id="0">
    <w:p w:rsidR="00456B8A" w:rsidRDefault="00456B8A" w:rsidP="00BF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51303"/>
      <w:docPartObj>
        <w:docPartGallery w:val="Page Numbers (Bottom of Page)"/>
        <w:docPartUnique/>
      </w:docPartObj>
    </w:sdtPr>
    <w:sdtEndPr/>
    <w:sdtContent>
      <w:p w:rsidR="00EF64A5" w:rsidRDefault="00EF64A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4C6">
          <w:rPr>
            <w:noProof/>
          </w:rPr>
          <w:t>4</w:t>
        </w:r>
        <w:r>
          <w:fldChar w:fldCharType="end"/>
        </w:r>
      </w:p>
    </w:sdtContent>
  </w:sdt>
  <w:p w:rsidR="00EF64A5" w:rsidRDefault="00EF64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8A" w:rsidRDefault="00456B8A" w:rsidP="00BF57CD">
      <w:pPr>
        <w:spacing w:after="0" w:line="240" w:lineRule="auto"/>
      </w:pPr>
      <w:r>
        <w:separator/>
      </w:r>
    </w:p>
  </w:footnote>
  <w:footnote w:type="continuationSeparator" w:id="0">
    <w:p w:rsidR="00456B8A" w:rsidRDefault="00456B8A" w:rsidP="00BF57CD">
      <w:pPr>
        <w:spacing w:after="0" w:line="240" w:lineRule="auto"/>
      </w:pPr>
      <w:r>
        <w:continuationSeparator/>
      </w:r>
    </w:p>
  </w:footnote>
  <w:footnote w:id="1">
    <w:p w:rsidR="00C5552C" w:rsidRDefault="00C5552C" w:rsidP="00C5552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B519F5">
        <w:t xml:space="preserve">V označení deliktu </w:t>
      </w:r>
      <w:r>
        <w:t>„krádež s násilím/</w:t>
      </w:r>
      <w:r w:rsidRPr="00B519F5">
        <w:rPr>
          <w:bCs/>
        </w:rPr>
        <w:t>loupež/</w:t>
      </w:r>
      <w:r>
        <w:rPr>
          <w:bCs/>
        </w:rPr>
        <w:t>“: jedná se o údaje k </w:t>
      </w:r>
      <w:r w:rsidRPr="00B519F5">
        <w:rPr>
          <w:bCs/>
        </w:rPr>
        <w:t>otázce</w:t>
      </w:r>
      <w:r>
        <w:rPr>
          <w:bCs/>
        </w:rPr>
        <w:t xml:space="preserve"> „</w:t>
      </w:r>
      <w:r>
        <w:t xml:space="preserve"> </w:t>
      </w:r>
      <w:r w:rsidRPr="00B519F5">
        <w:rPr>
          <w:bCs/>
        </w:rPr>
        <w:t>Okradl Vás osobně někdo o něco během posledních 12 měsíců za použití bezprostředního násilí nebo pod pohrůžkou bezprostředního násilí nebo se o to pokusil?</w:t>
      </w:r>
      <w:r>
        <w:rPr>
          <w:bCs/>
        </w:rPr>
        <w:t>“.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7EC2"/>
    <w:multiLevelType w:val="hybridMultilevel"/>
    <w:tmpl w:val="665A22DE"/>
    <w:lvl w:ilvl="0" w:tplc="1A940D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76E1C"/>
    <w:multiLevelType w:val="hybridMultilevel"/>
    <w:tmpl w:val="C41E45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914AC"/>
    <w:multiLevelType w:val="hybridMultilevel"/>
    <w:tmpl w:val="81340B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9402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FA94A50"/>
    <w:multiLevelType w:val="hybridMultilevel"/>
    <w:tmpl w:val="0C28C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542FE"/>
    <w:multiLevelType w:val="hybridMultilevel"/>
    <w:tmpl w:val="96E2FF24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33B6757"/>
    <w:multiLevelType w:val="hybridMultilevel"/>
    <w:tmpl w:val="877C3AB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CD"/>
    <w:rsid w:val="0000184A"/>
    <w:rsid w:val="000018E9"/>
    <w:rsid w:val="00010092"/>
    <w:rsid w:val="00011E4D"/>
    <w:rsid w:val="00015622"/>
    <w:rsid w:val="00027230"/>
    <w:rsid w:val="000311C6"/>
    <w:rsid w:val="0004258D"/>
    <w:rsid w:val="00044CCB"/>
    <w:rsid w:val="0004616E"/>
    <w:rsid w:val="00064BFA"/>
    <w:rsid w:val="0007211B"/>
    <w:rsid w:val="00084768"/>
    <w:rsid w:val="000965D6"/>
    <w:rsid w:val="000A24C6"/>
    <w:rsid w:val="000B0EA8"/>
    <w:rsid w:val="000B5F07"/>
    <w:rsid w:val="000C472E"/>
    <w:rsid w:val="000C5D1B"/>
    <w:rsid w:val="000D28C4"/>
    <w:rsid w:val="000D6738"/>
    <w:rsid w:val="000E2FA4"/>
    <w:rsid w:val="000F349D"/>
    <w:rsid w:val="0010062D"/>
    <w:rsid w:val="00100E08"/>
    <w:rsid w:val="00103491"/>
    <w:rsid w:val="00104961"/>
    <w:rsid w:val="001123D3"/>
    <w:rsid w:val="00130364"/>
    <w:rsid w:val="001313E3"/>
    <w:rsid w:val="00131AFE"/>
    <w:rsid w:val="00132986"/>
    <w:rsid w:val="00133BAF"/>
    <w:rsid w:val="00134728"/>
    <w:rsid w:val="00162CD0"/>
    <w:rsid w:val="001641AF"/>
    <w:rsid w:val="0017075D"/>
    <w:rsid w:val="001732A4"/>
    <w:rsid w:val="00175B21"/>
    <w:rsid w:val="00176A64"/>
    <w:rsid w:val="00184AB7"/>
    <w:rsid w:val="00185386"/>
    <w:rsid w:val="0019023A"/>
    <w:rsid w:val="00190589"/>
    <w:rsid w:val="0019622D"/>
    <w:rsid w:val="001A1D1E"/>
    <w:rsid w:val="001A2920"/>
    <w:rsid w:val="001B0709"/>
    <w:rsid w:val="001C47E1"/>
    <w:rsid w:val="001D1837"/>
    <w:rsid w:val="001D1A42"/>
    <w:rsid w:val="001E6FC3"/>
    <w:rsid w:val="001F2F33"/>
    <w:rsid w:val="00201BC9"/>
    <w:rsid w:val="00202C70"/>
    <w:rsid w:val="00210072"/>
    <w:rsid w:val="00222679"/>
    <w:rsid w:val="002401B1"/>
    <w:rsid w:val="002401F0"/>
    <w:rsid w:val="00240F9B"/>
    <w:rsid w:val="00241FAD"/>
    <w:rsid w:val="00251EEB"/>
    <w:rsid w:val="0026625A"/>
    <w:rsid w:val="00266B5C"/>
    <w:rsid w:val="00285DC8"/>
    <w:rsid w:val="00295AB1"/>
    <w:rsid w:val="002B1A68"/>
    <w:rsid w:val="002B7DFC"/>
    <w:rsid w:val="002C309C"/>
    <w:rsid w:val="002D610C"/>
    <w:rsid w:val="002E2A96"/>
    <w:rsid w:val="002E5C2E"/>
    <w:rsid w:val="002E7CF0"/>
    <w:rsid w:val="002F1452"/>
    <w:rsid w:val="002F1A3E"/>
    <w:rsid w:val="002F6E49"/>
    <w:rsid w:val="00300A4D"/>
    <w:rsid w:val="00310B5D"/>
    <w:rsid w:val="00311BB3"/>
    <w:rsid w:val="00316DFC"/>
    <w:rsid w:val="00323C9F"/>
    <w:rsid w:val="00324E1C"/>
    <w:rsid w:val="00325FD4"/>
    <w:rsid w:val="00334F91"/>
    <w:rsid w:val="00336083"/>
    <w:rsid w:val="00340243"/>
    <w:rsid w:val="003533B4"/>
    <w:rsid w:val="00353F9D"/>
    <w:rsid w:val="00363712"/>
    <w:rsid w:val="00372BFC"/>
    <w:rsid w:val="00372D9E"/>
    <w:rsid w:val="00384EB0"/>
    <w:rsid w:val="00390466"/>
    <w:rsid w:val="00390DFA"/>
    <w:rsid w:val="003B1307"/>
    <w:rsid w:val="003B26CB"/>
    <w:rsid w:val="003B5F07"/>
    <w:rsid w:val="003C1A95"/>
    <w:rsid w:val="003C31A2"/>
    <w:rsid w:val="003D2B8B"/>
    <w:rsid w:val="003D69A2"/>
    <w:rsid w:val="003E5B28"/>
    <w:rsid w:val="003F6F93"/>
    <w:rsid w:val="0040227A"/>
    <w:rsid w:val="00413129"/>
    <w:rsid w:val="004176C0"/>
    <w:rsid w:val="004200CC"/>
    <w:rsid w:val="00425384"/>
    <w:rsid w:val="00425B47"/>
    <w:rsid w:val="00431C36"/>
    <w:rsid w:val="00432B3E"/>
    <w:rsid w:val="00437611"/>
    <w:rsid w:val="004378D1"/>
    <w:rsid w:val="00437C67"/>
    <w:rsid w:val="0044433C"/>
    <w:rsid w:val="004472B2"/>
    <w:rsid w:val="0045119C"/>
    <w:rsid w:val="00456B8A"/>
    <w:rsid w:val="00460DD7"/>
    <w:rsid w:val="00462803"/>
    <w:rsid w:val="0047348E"/>
    <w:rsid w:val="0048231A"/>
    <w:rsid w:val="0048295B"/>
    <w:rsid w:val="00484EAE"/>
    <w:rsid w:val="004A0047"/>
    <w:rsid w:val="004A1C8F"/>
    <w:rsid w:val="004A25BB"/>
    <w:rsid w:val="004A6374"/>
    <w:rsid w:val="004B573A"/>
    <w:rsid w:val="004B7A96"/>
    <w:rsid w:val="004C108B"/>
    <w:rsid w:val="004C1F5E"/>
    <w:rsid w:val="004E0607"/>
    <w:rsid w:val="004E7E00"/>
    <w:rsid w:val="004F0AC8"/>
    <w:rsid w:val="004F44EC"/>
    <w:rsid w:val="00514911"/>
    <w:rsid w:val="00527533"/>
    <w:rsid w:val="00530B78"/>
    <w:rsid w:val="00531536"/>
    <w:rsid w:val="005318B2"/>
    <w:rsid w:val="00533C2A"/>
    <w:rsid w:val="00540C8D"/>
    <w:rsid w:val="005437E5"/>
    <w:rsid w:val="0055632E"/>
    <w:rsid w:val="0055735F"/>
    <w:rsid w:val="00562605"/>
    <w:rsid w:val="00566837"/>
    <w:rsid w:val="0056753A"/>
    <w:rsid w:val="0057499A"/>
    <w:rsid w:val="00577131"/>
    <w:rsid w:val="005879AC"/>
    <w:rsid w:val="00590947"/>
    <w:rsid w:val="005A33D6"/>
    <w:rsid w:val="005A7193"/>
    <w:rsid w:val="005B043C"/>
    <w:rsid w:val="005B093F"/>
    <w:rsid w:val="005B0FC5"/>
    <w:rsid w:val="005C0E4B"/>
    <w:rsid w:val="005C3258"/>
    <w:rsid w:val="005C3336"/>
    <w:rsid w:val="005C7731"/>
    <w:rsid w:val="005D0A58"/>
    <w:rsid w:val="005D118F"/>
    <w:rsid w:val="005D430F"/>
    <w:rsid w:val="005D5533"/>
    <w:rsid w:val="005E59BB"/>
    <w:rsid w:val="005F2671"/>
    <w:rsid w:val="005F6DF9"/>
    <w:rsid w:val="00600548"/>
    <w:rsid w:val="00601B04"/>
    <w:rsid w:val="00601B92"/>
    <w:rsid w:val="00602C04"/>
    <w:rsid w:val="00605E3F"/>
    <w:rsid w:val="006147A6"/>
    <w:rsid w:val="0063000D"/>
    <w:rsid w:val="00653DF4"/>
    <w:rsid w:val="00664DFD"/>
    <w:rsid w:val="006702F6"/>
    <w:rsid w:val="00673FB4"/>
    <w:rsid w:val="00674DF6"/>
    <w:rsid w:val="006857AA"/>
    <w:rsid w:val="006866C2"/>
    <w:rsid w:val="00687A39"/>
    <w:rsid w:val="00695675"/>
    <w:rsid w:val="006A1636"/>
    <w:rsid w:val="006A63E3"/>
    <w:rsid w:val="006A7C4B"/>
    <w:rsid w:val="006B3E66"/>
    <w:rsid w:val="006E23FC"/>
    <w:rsid w:val="006E2BB8"/>
    <w:rsid w:val="006E4B88"/>
    <w:rsid w:val="00716EE2"/>
    <w:rsid w:val="0072074C"/>
    <w:rsid w:val="00720E6F"/>
    <w:rsid w:val="007533DA"/>
    <w:rsid w:val="00754DBE"/>
    <w:rsid w:val="00765271"/>
    <w:rsid w:val="00771C9B"/>
    <w:rsid w:val="00772877"/>
    <w:rsid w:val="00774B0C"/>
    <w:rsid w:val="00777C67"/>
    <w:rsid w:val="0079095F"/>
    <w:rsid w:val="007A0DE1"/>
    <w:rsid w:val="007A3A03"/>
    <w:rsid w:val="007B01D1"/>
    <w:rsid w:val="007B40FF"/>
    <w:rsid w:val="007B48E7"/>
    <w:rsid w:val="007B5A9D"/>
    <w:rsid w:val="007D0741"/>
    <w:rsid w:val="007D4A4D"/>
    <w:rsid w:val="007D7BF6"/>
    <w:rsid w:val="007E3E80"/>
    <w:rsid w:val="007E6DA5"/>
    <w:rsid w:val="007F1664"/>
    <w:rsid w:val="007F3260"/>
    <w:rsid w:val="007F7E18"/>
    <w:rsid w:val="00802137"/>
    <w:rsid w:val="00814C20"/>
    <w:rsid w:val="0082150F"/>
    <w:rsid w:val="00821DAA"/>
    <w:rsid w:val="008240B8"/>
    <w:rsid w:val="00835CEC"/>
    <w:rsid w:val="008364BF"/>
    <w:rsid w:val="0083747D"/>
    <w:rsid w:val="008449F0"/>
    <w:rsid w:val="00845A30"/>
    <w:rsid w:val="008536E1"/>
    <w:rsid w:val="008675E4"/>
    <w:rsid w:val="00875BBC"/>
    <w:rsid w:val="00885800"/>
    <w:rsid w:val="008B0C72"/>
    <w:rsid w:val="008B13A0"/>
    <w:rsid w:val="008B194F"/>
    <w:rsid w:val="008B621E"/>
    <w:rsid w:val="008C07B2"/>
    <w:rsid w:val="008C41FC"/>
    <w:rsid w:val="008D4CD0"/>
    <w:rsid w:val="008D7FEB"/>
    <w:rsid w:val="008F3073"/>
    <w:rsid w:val="008F4E52"/>
    <w:rsid w:val="00906D9F"/>
    <w:rsid w:val="0091714B"/>
    <w:rsid w:val="00932102"/>
    <w:rsid w:val="00934EFD"/>
    <w:rsid w:val="0094018D"/>
    <w:rsid w:val="00947AD3"/>
    <w:rsid w:val="00953513"/>
    <w:rsid w:val="00961951"/>
    <w:rsid w:val="009641DC"/>
    <w:rsid w:val="0097060F"/>
    <w:rsid w:val="00975981"/>
    <w:rsid w:val="009872BA"/>
    <w:rsid w:val="00990729"/>
    <w:rsid w:val="00997FB3"/>
    <w:rsid w:val="009B11D2"/>
    <w:rsid w:val="009B1430"/>
    <w:rsid w:val="009B1540"/>
    <w:rsid w:val="009B4931"/>
    <w:rsid w:val="009C5888"/>
    <w:rsid w:val="009D3AEC"/>
    <w:rsid w:val="009D6380"/>
    <w:rsid w:val="009E4415"/>
    <w:rsid w:val="009E604B"/>
    <w:rsid w:val="00A0134B"/>
    <w:rsid w:val="00A04795"/>
    <w:rsid w:val="00A21108"/>
    <w:rsid w:val="00A219B1"/>
    <w:rsid w:val="00A261AF"/>
    <w:rsid w:val="00A3171D"/>
    <w:rsid w:val="00A31CF1"/>
    <w:rsid w:val="00A34E41"/>
    <w:rsid w:val="00A37319"/>
    <w:rsid w:val="00A423B6"/>
    <w:rsid w:val="00A553D3"/>
    <w:rsid w:val="00A569D1"/>
    <w:rsid w:val="00A62581"/>
    <w:rsid w:val="00A62DA0"/>
    <w:rsid w:val="00A758CE"/>
    <w:rsid w:val="00A77182"/>
    <w:rsid w:val="00A84CE9"/>
    <w:rsid w:val="00A85A4C"/>
    <w:rsid w:val="00A93CDB"/>
    <w:rsid w:val="00AA11BA"/>
    <w:rsid w:val="00AA445E"/>
    <w:rsid w:val="00AB77B3"/>
    <w:rsid w:val="00AC6991"/>
    <w:rsid w:val="00AD7E70"/>
    <w:rsid w:val="00AE073E"/>
    <w:rsid w:val="00AE3C49"/>
    <w:rsid w:val="00AE556F"/>
    <w:rsid w:val="00AF504A"/>
    <w:rsid w:val="00AF7023"/>
    <w:rsid w:val="00B21B0A"/>
    <w:rsid w:val="00B255A4"/>
    <w:rsid w:val="00B3058F"/>
    <w:rsid w:val="00B33086"/>
    <w:rsid w:val="00B3457D"/>
    <w:rsid w:val="00B414AA"/>
    <w:rsid w:val="00B43977"/>
    <w:rsid w:val="00B510ED"/>
    <w:rsid w:val="00B64D20"/>
    <w:rsid w:val="00B65E29"/>
    <w:rsid w:val="00B66BF4"/>
    <w:rsid w:val="00B74C90"/>
    <w:rsid w:val="00B755E2"/>
    <w:rsid w:val="00B76C72"/>
    <w:rsid w:val="00B76F50"/>
    <w:rsid w:val="00B8035D"/>
    <w:rsid w:val="00B80A3A"/>
    <w:rsid w:val="00B83B6E"/>
    <w:rsid w:val="00B907C6"/>
    <w:rsid w:val="00B9182B"/>
    <w:rsid w:val="00B9586F"/>
    <w:rsid w:val="00BA64A7"/>
    <w:rsid w:val="00BA7AFF"/>
    <w:rsid w:val="00BB70BC"/>
    <w:rsid w:val="00BC0C51"/>
    <w:rsid w:val="00BC6E46"/>
    <w:rsid w:val="00BD2810"/>
    <w:rsid w:val="00BD35E8"/>
    <w:rsid w:val="00BD5ABC"/>
    <w:rsid w:val="00BF2988"/>
    <w:rsid w:val="00BF57CD"/>
    <w:rsid w:val="00C075DB"/>
    <w:rsid w:val="00C07BB8"/>
    <w:rsid w:val="00C30CD4"/>
    <w:rsid w:val="00C34B06"/>
    <w:rsid w:val="00C5552C"/>
    <w:rsid w:val="00C653D3"/>
    <w:rsid w:val="00C675EA"/>
    <w:rsid w:val="00C80769"/>
    <w:rsid w:val="00C83B2B"/>
    <w:rsid w:val="00C83B64"/>
    <w:rsid w:val="00C83CE8"/>
    <w:rsid w:val="00C84AD9"/>
    <w:rsid w:val="00C95DC0"/>
    <w:rsid w:val="00CA1B64"/>
    <w:rsid w:val="00CA22DD"/>
    <w:rsid w:val="00CA2772"/>
    <w:rsid w:val="00CB7DD7"/>
    <w:rsid w:val="00CC0A83"/>
    <w:rsid w:val="00CC456E"/>
    <w:rsid w:val="00CE44ED"/>
    <w:rsid w:val="00CE7FA6"/>
    <w:rsid w:val="00D01A3F"/>
    <w:rsid w:val="00D06EBC"/>
    <w:rsid w:val="00D07C1F"/>
    <w:rsid w:val="00D20CC9"/>
    <w:rsid w:val="00D25155"/>
    <w:rsid w:val="00D303A5"/>
    <w:rsid w:val="00D34878"/>
    <w:rsid w:val="00D34AAD"/>
    <w:rsid w:val="00D43C54"/>
    <w:rsid w:val="00D76A9C"/>
    <w:rsid w:val="00D76C7E"/>
    <w:rsid w:val="00D81D4D"/>
    <w:rsid w:val="00D862B6"/>
    <w:rsid w:val="00D94B2D"/>
    <w:rsid w:val="00DA58A6"/>
    <w:rsid w:val="00DC11D5"/>
    <w:rsid w:val="00DD13A6"/>
    <w:rsid w:val="00DE0CD6"/>
    <w:rsid w:val="00DE4B8E"/>
    <w:rsid w:val="00DF3044"/>
    <w:rsid w:val="00DF4881"/>
    <w:rsid w:val="00E06FE3"/>
    <w:rsid w:val="00E12A36"/>
    <w:rsid w:val="00E15B8D"/>
    <w:rsid w:val="00E16440"/>
    <w:rsid w:val="00E21C6A"/>
    <w:rsid w:val="00E30C9B"/>
    <w:rsid w:val="00E3381C"/>
    <w:rsid w:val="00E35BDD"/>
    <w:rsid w:val="00E40678"/>
    <w:rsid w:val="00E42B33"/>
    <w:rsid w:val="00E618E9"/>
    <w:rsid w:val="00E619A1"/>
    <w:rsid w:val="00E727A5"/>
    <w:rsid w:val="00E8333A"/>
    <w:rsid w:val="00E87273"/>
    <w:rsid w:val="00E91437"/>
    <w:rsid w:val="00EC347B"/>
    <w:rsid w:val="00EC6705"/>
    <w:rsid w:val="00ED5837"/>
    <w:rsid w:val="00ED5E49"/>
    <w:rsid w:val="00ED7A96"/>
    <w:rsid w:val="00EE00BF"/>
    <w:rsid w:val="00EE3616"/>
    <w:rsid w:val="00EF3269"/>
    <w:rsid w:val="00EF64A5"/>
    <w:rsid w:val="00F10B49"/>
    <w:rsid w:val="00F20440"/>
    <w:rsid w:val="00F2501B"/>
    <w:rsid w:val="00F37E95"/>
    <w:rsid w:val="00F4107C"/>
    <w:rsid w:val="00F41592"/>
    <w:rsid w:val="00F42C9C"/>
    <w:rsid w:val="00F5368B"/>
    <w:rsid w:val="00F63A13"/>
    <w:rsid w:val="00F80C37"/>
    <w:rsid w:val="00F818F5"/>
    <w:rsid w:val="00F853F5"/>
    <w:rsid w:val="00F9245B"/>
    <w:rsid w:val="00FA1C57"/>
    <w:rsid w:val="00FB527F"/>
    <w:rsid w:val="00FC1A3A"/>
    <w:rsid w:val="00FC4040"/>
    <w:rsid w:val="00FC5B62"/>
    <w:rsid w:val="00FC6721"/>
    <w:rsid w:val="00FC6743"/>
    <w:rsid w:val="00FC70C3"/>
    <w:rsid w:val="00FD622E"/>
    <w:rsid w:val="00FE3E2F"/>
    <w:rsid w:val="00FE4302"/>
    <w:rsid w:val="00FF32CA"/>
    <w:rsid w:val="00FF3443"/>
    <w:rsid w:val="00FF5D3F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BF57C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F57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BF5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F57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F57CD"/>
    <w:rPr>
      <w:vertAlign w:val="superscript"/>
    </w:rPr>
  </w:style>
  <w:style w:type="paragraph" w:styleId="Zkladntext2">
    <w:name w:val="Body Text 2"/>
    <w:basedOn w:val="Normln"/>
    <w:link w:val="Zkladntext2Char"/>
    <w:semiHidden/>
    <w:unhideWhenUsed/>
    <w:rsid w:val="00BF57C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BF57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F57C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6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64A5"/>
  </w:style>
  <w:style w:type="paragraph" w:styleId="Zpat">
    <w:name w:val="footer"/>
    <w:basedOn w:val="Normln"/>
    <w:link w:val="ZpatChar"/>
    <w:uiPriority w:val="99"/>
    <w:unhideWhenUsed/>
    <w:rsid w:val="00EF6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64A5"/>
  </w:style>
  <w:style w:type="paragraph" w:styleId="Textbubliny">
    <w:name w:val="Balloon Text"/>
    <w:basedOn w:val="Normln"/>
    <w:link w:val="TextbublinyChar"/>
    <w:uiPriority w:val="99"/>
    <w:semiHidden/>
    <w:unhideWhenUsed/>
    <w:rsid w:val="0076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271"/>
    <w:rPr>
      <w:rFonts w:ascii="Tahoma" w:hAnsi="Tahoma" w:cs="Tahoma"/>
      <w:sz w:val="16"/>
      <w:szCs w:val="16"/>
    </w:rPr>
  </w:style>
  <w:style w:type="paragraph" w:customStyle="1" w:styleId="stickynote1">
    <w:name w:val="stickynote1"/>
    <w:basedOn w:val="Normln"/>
    <w:rsid w:val="009C5888"/>
    <w:pPr>
      <w:pBdr>
        <w:top w:val="single" w:sz="6" w:space="11" w:color="F0F0F0"/>
        <w:left w:val="single" w:sz="6" w:space="31" w:color="F0F0F0"/>
        <w:bottom w:val="single" w:sz="6" w:space="11" w:color="F0F0F0"/>
        <w:right w:val="single" w:sz="6" w:space="8" w:color="F0F0F0"/>
      </w:pBdr>
      <w:spacing w:before="225" w:after="0" w:line="240" w:lineRule="auto"/>
    </w:pPr>
    <w:rPr>
      <w:rFonts w:ascii="Times New Roman" w:eastAsia="Times New Roman" w:hAnsi="Times New Roman" w:cs="Times New Roman"/>
      <w:color w:val="00426F"/>
      <w:sz w:val="24"/>
      <w:szCs w:val="24"/>
      <w:lang w:eastAsia="cs-CZ"/>
    </w:rPr>
  </w:style>
  <w:style w:type="character" w:customStyle="1" w:styleId="caps">
    <w:name w:val="caps"/>
    <w:basedOn w:val="Standardnpsmoodstavce"/>
    <w:rsid w:val="009C5888"/>
  </w:style>
  <w:style w:type="paragraph" w:styleId="Bezmezer">
    <w:name w:val="No Spacing"/>
    <w:uiPriority w:val="1"/>
    <w:qFormat/>
    <w:rsid w:val="005D118F"/>
    <w:pPr>
      <w:spacing w:after="0" w:line="240" w:lineRule="auto"/>
    </w:pPr>
  </w:style>
  <w:style w:type="table" w:styleId="Mkatabulky">
    <w:name w:val="Table Grid"/>
    <w:basedOn w:val="Normlntabulka"/>
    <w:uiPriority w:val="59"/>
    <w:rsid w:val="00953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BF57C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F57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BF5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F57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F57CD"/>
    <w:rPr>
      <w:vertAlign w:val="superscript"/>
    </w:rPr>
  </w:style>
  <w:style w:type="paragraph" w:styleId="Zkladntext2">
    <w:name w:val="Body Text 2"/>
    <w:basedOn w:val="Normln"/>
    <w:link w:val="Zkladntext2Char"/>
    <w:semiHidden/>
    <w:unhideWhenUsed/>
    <w:rsid w:val="00BF57C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BF57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F57C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6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64A5"/>
  </w:style>
  <w:style w:type="paragraph" w:styleId="Zpat">
    <w:name w:val="footer"/>
    <w:basedOn w:val="Normln"/>
    <w:link w:val="ZpatChar"/>
    <w:uiPriority w:val="99"/>
    <w:unhideWhenUsed/>
    <w:rsid w:val="00EF6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64A5"/>
  </w:style>
  <w:style w:type="paragraph" w:styleId="Textbubliny">
    <w:name w:val="Balloon Text"/>
    <w:basedOn w:val="Normln"/>
    <w:link w:val="TextbublinyChar"/>
    <w:uiPriority w:val="99"/>
    <w:semiHidden/>
    <w:unhideWhenUsed/>
    <w:rsid w:val="0076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271"/>
    <w:rPr>
      <w:rFonts w:ascii="Tahoma" w:hAnsi="Tahoma" w:cs="Tahoma"/>
      <w:sz w:val="16"/>
      <w:szCs w:val="16"/>
    </w:rPr>
  </w:style>
  <w:style w:type="paragraph" w:customStyle="1" w:styleId="stickynote1">
    <w:name w:val="stickynote1"/>
    <w:basedOn w:val="Normln"/>
    <w:rsid w:val="009C5888"/>
    <w:pPr>
      <w:pBdr>
        <w:top w:val="single" w:sz="6" w:space="11" w:color="F0F0F0"/>
        <w:left w:val="single" w:sz="6" w:space="31" w:color="F0F0F0"/>
        <w:bottom w:val="single" w:sz="6" w:space="11" w:color="F0F0F0"/>
        <w:right w:val="single" w:sz="6" w:space="8" w:color="F0F0F0"/>
      </w:pBdr>
      <w:spacing w:before="225" w:after="0" w:line="240" w:lineRule="auto"/>
    </w:pPr>
    <w:rPr>
      <w:rFonts w:ascii="Times New Roman" w:eastAsia="Times New Roman" w:hAnsi="Times New Roman" w:cs="Times New Roman"/>
      <w:color w:val="00426F"/>
      <w:sz w:val="24"/>
      <w:szCs w:val="24"/>
      <w:lang w:eastAsia="cs-CZ"/>
    </w:rPr>
  </w:style>
  <w:style w:type="character" w:customStyle="1" w:styleId="caps">
    <w:name w:val="caps"/>
    <w:basedOn w:val="Standardnpsmoodstavce"/>
    <w:rsid w:val="009C5888"/>
  </w:style>
  <w:style w:type="paragraph" w:styleId="Bezmezer">
    <w:name w:val="No Spacing"/>
    <w:uiPriority w:val="1"/>
    <w:qFormat/>
    <w:rsid w:val="005D118F"/>
    <w:pPr>
      <w:spacing w:after="0" w:line="240" w:lineRule="auto"/>
    </w:pPr>
  </w:style>
  <w:style w:type="table" w:styleId="Mkatabulky">
    <w:name w:val="Table Grid"/>
    <w:basedOn w:val="Normlntabulka"/>
    <w:uiPriority w:val="59"/>
    <w:rsid w:val="00953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31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3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96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5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12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87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0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48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6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77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524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077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CB8F961-F114-404A-AC5B-A3A6B9D2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1221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justice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Martinková Milada PhDr.</dc:creator>
  <cp:lastModifiedBy>Scheinost Miroslav PhDr.</cp:lastModifiedBy>
  <cp:revision>7</cp:revision>
  <cp:lastPrinted>2015-04-21T09:03:00Z</cp:lastPrinted>
  <dcterms:created xsi:type="dcterms:W3CDTF">2015-04-21T09:29:00Z</dcterms:created>
  <dcterms:modified xsi:type="dcterms:W3CDTF">2015-04-21T12:38:00Z</dcterms:modified>
</cp:coreProperties>
</file>