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8B" w:rsidRPr="00A219AC" w:rsidRDefault="000F7B8B" w:rsidP="000F7B8B">
      <w:pPr>
        <w:contextualSpacing/>
        <w:rPr>
          <w:rFonts w:cs="Arial"/>
          <w:sz w:val="24"/>
          <w:szCs w:val="24"/>
        </w:rPr>
      </w:pPr>
      <w:r w:rsidRPr="00A219AC">
        <w:rPr>
          <w:rFonts w:cs="Arial"/>
          <w:sz w:val="24"/>
          <w:szCs w:val="24"/>
        </w:rPr>
        <w:t xml:space="preserve">Česká republika – Ministerstvo vnitra </w:t>
      </w:r>
    </w:p>
    <w:p w:rsidR="000F7B8B" w:rsidRPr="00A219AC" w:rsidRDefault="000F7B8B" w:rsidP="000F7B8B">
      <w:pPr>
        <w:contextualSpacing/>
        <w:rPr>
          <w:rFonts w:cs="Arial"/>
          <w:sz w:val="24"/>
          <w:szCs w:val="24"/>
        </w:rPr>
      </w:pPr>
      <w:r w:rsidRPr="00A219AC">
        <w:rPr>
          <w:rFonts w:cs="Arial"/>
          <w:sz w:val="24"/>
          <w:szCs w:val="24"/>
        </w:rPr>
        <w:t>Odbor fondů EU v oblasti vnitřních věcí</w:t>
      </w:r>
    </w:p>
    <w:p w:rsidR="000F7B8B" w:rsidRPr="00A219AC" w:rsidRDefault="000F7B8B" w:rsidP="000F7B8B">
      <w:pPr>
        <w:contextualSpacing/>
        <w:rPr>
          <w:rFonts w:cs="Arial"/>
          <w:sz w:val="24"/>
          <w:szCs w:val="24"/>
        </w:rPr>
      </w:pPr>
      <w:r w:rsidRPr="00A219AC">
        <w:rPr>
          <w:rFonts w:cs="Arial"/>
          <w:sz w:val="24"/>
          <w:szCs w:val="24"/>
        </w:rPr>
        <w:t>Nad Štolou 3</w:t>
      </w:r>
    </w:p>
    <w:p w:rsidR="000F7B8B" w:rsidRDefault="000F7B8B" w:rsidP="000F7B8B">
      <w:pPr>
        <w:spacing w:after="480"/>
        <w:rPr>
          <w:rFonts w:cs="Arial"/>
          <w:sz w:val="24"/>
          <w:szCs w:val="24"/>
        </w:rPr>
      </w:pPr>
      <w:r w:rsidRPr="00A219AC">
        <w:rPr>
          <w:rFonts w:cs="Arial"/>
          <w:sz w:val="24"/>
          <w:szCs w:val="24"/>
        </w:rPr>
        <w:t>170 34 Praha</w:t>
      </w:r>
    </w:p>
    <w:p w:rsidR="0099535B" w:rsidRPr="00A219AC" w:rsidRDefault="0099535B" w:rsidP="000F7B8B">
      <w:pPr>
        <w:spacing w:after="480"/>
        <w:rPr>
          <w:rFonts w:cs="Arial"/>
          <w:sz w:val="24"/>
          <w:szCs w:val="24"/>
        </w:rPr>
      </w:pPr>
      <w:r>
        <w:rPr>
          <w:rFonts w:cs="Arial"/>
          <w:sz w:val="24"/>
          <w:szCs w:val="24"/>
        </w:rPr>
        <w:t>jako věcně příslušný správní orgán tímto vydává</w:t>
      </w:r>
    </w:p>
    <w:p w:rsidR="000F7B8B" w:rsidRPr="00A219AC" w:rsidRDefault="000F7B8B" w:rsidP="000F7B8B">
      <w:pPr>
        <w:pStyle w:val="Zkladntext"/>
        <w:jc w:val="center"/>
        <w:rPr>
          <w:b/>
          <w:bCs/>
          <w:sz w:val="32"/>
          <w:szCs w:val="32"/>
        </w:rPr>
      </w:pPr>
      <w:r w:rsidRPr="00A219AC">
        <w:rPr>
          <w:b/>
          <w:sz w:val="32"/>
          <w:szCs w:val="32"/>
        </w:rPr>
        <w:t>ROZHODNUTÍ O POSKYTNUTÍ DOTACE</w:t>
      </w:r>
      <w:r w:rsidRPr="00A219AC">
        <w:rPr>
          <w:b/>
          <w:bCs/>
          <w:smallCaps/>
          <w:sz w:val="32"/>
          <w:szCs w:val="32"/>
        </w:rPr>
        <w:t xml:space="preserve"> </w:t>
      </w:r>
      <w:r w:rsidRPr="00A219AC">
        <w:rPr>
          <w:b/>
          <w:sz w:val="32"/>
          <w:szCs w:val="32"/>
        </w:rPr>
        <w:t xml:space="preserve">č. […] </w:t>
      </w:r>
    </w:p>
    <w:p w:rsidR="000F7B8B" w:rsidRPr="00A219AC" w:rsidRDefault="000F7B8B" w:rsidP="000F7B8B">
      <w:pPr>
        <w:pStyle w:val="Zkladntext"/>
        <w:spacing w:after="240"/>
        <w:jc w:val="center"/>
        <w:rPr>
          <w:b/>
          <w:bCs/>
        </w:rPr>
      </w:pPr>
      <w:r w:rsidRPr="00A219AC">
        <w:rPr>
          <w:bCs/>
        </w:rPr>
        <w:t>(dále jen „Rozhodnutí“)</w:t>
      </w:r>
    </w:p>
    <w:p w:rsidR="000F7B8B" w:rsidRPr="00A219AC" w:rsidRDefault="000F7B8B" w:rsidP="000F7B8B">
      <w:pPr>
        <w:pStyle w:val="Zkladntext"/>
        <w:jc w:val="center"/>
        <w:rPr>
          <w:b/>
          <w:bCs/>
        </w:rPr>
      </w:pPr>
    </w:p>
    <w:p w:rsidR="000F7B8B" w:rsidRPr="00747E4C" w:rsidRDefault="000F7B8B" w:rsidP="000F7B8B">
      <w:pPr>
        <w:pStyle w:val="Zhlav"/>
        <w:tabs>
          <w:tab w:val="clear" w:pos="4536"/>
          <w:tab w:val="clear" w:pos="9072"/>
        </w:tabs>
        <w:jc w:val="center"/>
        <w:rPr>
          <w:rFonts w:cs="Arial"/>
          <w:i/>
          <w:iCs/>
        </w:rPr>
      </w:pPr>
      <w:r w:rsidRPr="00747E4C">
        <w:rPr>
          <w:rFonts w:cs="Arial"/>
          <w:i/>
          <w:iCs/>
        </w:rPr>
        <w:t xml:space="preserve">vydané na základě § 14 zákona č. 218/2000 Sb., o rozpočtových pravidlech a o změně některých souvisejících zákonů (rozpočtová pravidla), ve znění pozdějších předpisů </w:t>
      </w:r>
    </w:p>
    <w:p w:rsidR="000F7B8B" w:rsidRPr="00747E4C" w:rsidRDefault="0099535B" w:rsidP="000F7B8B">
      <w:pPr>
        <w:pStyle w:val="Zhlav"/>
        <w:tabs>
          <w:tab w:val="clear" w:pos="4536"/>
          <w:tab w:val="clear" w:pos="9072"/>
        </w:tabs>
        <w:spacing w:after="240"/>
        <w:rPr>
          <w:rFonts w:cs="Arial"/>
        </w:rPr>
      </w:pPr>
      <w:r>
        <w:rPr>
          <w:rFonts w:cs="Arial"/>
        </w:rPr>
        <w:t>Ž</w:t>
      </w:r>
      <w:r w:rsidR="000F7B8B" w:rsidRPr="00747E4C">
        <w:rPr>
          <w:rFonts w:cs="Arial"/>
        </w:rPr>
        <w:t xml:space="preserve">ádosti o podporu z Národního programu AMIF (dále jen „NP AMIF“) </w:t>
      </w:r>
      <w:r w:rsidR="00ED3D20">
        <w:rPr>
          <w:rFonts w:cs="Arial"/>
        </w:rPr>
        <w:t>ve znění ze dne [</w:t>
      </w:r>
      <w:r w:rsidR="00ED3D20" w:rsidRPr="008202EC">
        <w:rPr>
          <w:rFonts w:cs="Arial"/>
          <w:highlight w:val="yellow"/>
        </w:rPr>
        <w:t>…</w:t>
      </w:r>
      <w:r w:rsidR="00ED3D20">
        <w:rPr>
          <w:rFonts w:cs="Arial"/>
        </w:rPr>
        <w:t>]</w:t>
      </w:r>
      <w:r w:rsidR="00ED3D20">
        <w:rPr>
          <w:rStyle w:val="Znakapoznpodarou"/>
          <w:rFonts w:cs="Arial"/>
        </w:rPr>
        <w:footnoteReference w:id="1"/>
      </w:r>
      <w:r w:rsidR="00ED3D20">
        <w:rPr>
          <w:rFonts w:cs="Arial"/>
        </w:rPr>
        <w:t xml:space="preserve"> </w:t>
      </w:r>
      <w:r>
        <w:rPr>
          <w:rFonts w:cs="Arial"/>
        </w:rPr>
        <w:t xml:space="preserve">na realizaci projektu </w:t>
      </w:r>
      <w:r w:rsidRPr="008202EC">
        <w:rPr>
          <w:rFonts w:cs="Arial"/>
          <w:highlight w:val="yellow"/>
        </w:rPr>
        <w:t>[…]</w:t>
      </w:r>
      <w:r w:rsidRPr="00747E4C">
        <w:rPr>
          <w:rFonts w:cs="Arial"/>
        </w:rPr>
        <w:t xml:space="preserve"> registrační číslo </w:t>
      </w:r>
      <w:r w:rsidRPr="008202EC">
        <w:rPr>
          <w:rFonts w:cs="Arial"/>
          <w:highlight w:val="yellow"/>
        </w:rPr>
        <w:t>[…]</w:t>
      </w:r>
      <w:r w:rsidRPr="00747E4C">
        <w:rPr>
          <w:rFonts w:cs="Arial"/>
        </w:rPr>
        <w:t>, (dále jen „projekt“)</w:t>
      </w:r>
      <w:r>
        <w:rPr>
          <w:rFonts w:cs="Arial"/>
        </w:rPr>
        <w:t xml:space="preserve"> </w:t>
      </w:r>
      <w:r w:rsidR="000F7B8B" w:rsidRPr="00747E4C">
        <w:rPr>
          <w:rFonts w:cs="Arial"/>
        </w:rPr>
        <w:t xml:space="preserve">Ministerstvo vnitra (dále jen „poskytovatel“) </w:t>
      </w:r>
      <w:r>
        <w:rPr>
          <w:rFonts w:cs="Arial"/>
        </w:rPr>
        <w:t>vyhovuje zcela.</w:t>
      </w:r>
    </w:p>
    <w:p w:rsidR="000F7B8B" w:rsidRPr="00747E4C" w:rsidRDefault="000F7B8B" w:rsidP="000F7B8B">
      <w:pPr>
        <w:jc w:val="center"/>
        <w:rPr>
          <w:rFonts w:cs="Arial"/>
          <w:b/>
        </w:rPr>
      </w:pPr>
      <w:r w:rsidRPr="00747E4C">
        <w:rPr>
          <w:rFonts w:cs="Arial"/>
          <w:b/>
        </w:rPr>
        <w:t xml:space="preserve">Část I </w:t>
      </w:r>
    </w:p>
    <w:p w:rsidR="000F7B8B" w:rsidRPr="00747E4C" w:rsidRDefault="000F7B8B" w:rsidP="000F7B8B">
      <w:pPr>
        <w:spacing w:after="240"/>
        <w:jc w:val="center"/>
        <w:rPr>
          <w:rFonts w:cs="Arial"/>
          <w:b/>
        </w:rPr>
      </w:pPr>
      <w:r w:rsidRPr="00747E4C">
        <w:rPr>
          <w:rFonts w:cs="Arial"/>
          <w:b/>
        </w:rPr>
        <w:t>Obecné vymezení dotace</w:t>
      </w:r>
    </w:p>
    <w:p w:rsidR="000F7B8B" w:rsidRPr="008202EC" w:rsidRDefault="000F7B8B" w:rsidP="000F7B8B">
      <w:pPr>
        <w:pStyle w:val="slovanseznam"/>
        <w:numPr>
          <w:ilvl w:val="0"/>
          <w:numId w:val="7"/>
        </w:numPr>
        <w:spacing w:line="240" w:lineRule="auto"/>
        <w:rPr>
          <w:b/>
          <w:bCs/>
          <w:sz w:val="22"/>
          <w:szCs w:val="22"/>
          <w:highlight w:val="yellow"/>
        </w:rPr>
      </w:pPr>
      <w:r w:rsidRPr="008202EC">
        <w:rPr>
          <w:b/>
          <w:bCs/>
          <w:sz w:val="22"/>
          <w:szCs w:val="22"/>
          <w:highlight w:val="yellow"/>
        </w:rPr>
        <w:t>Specifikace příjemce dotace (dále jen „příjemce“)</w:t>
      </w:r>
    </w:p>
    <w:p w:rsidR="000F7B8B" w:rsidRPr="00747E4C" w:rsidRDefault="000F7B8B" w:rsidP="000F7B8B">
      <w:pPr>
        <w:pStyle w:val="Zhlav"/>
        <w:tabs>
          <w:tab w:val="clear" w:pos="4536"/>
          <w:tab w:val="clear" w:pos="9072"/>
        </w:tabs>
        <w:spacing w:after="60"/>
        <w:rPr>
          <w:rFonts w:cs="Arial"/>
        </w:rPr>
      </w:pPr>
      <w:r w:rsidRPr="00747E4C">
        <w:rPr>
          <w:rFonts w:cs="Arial"/>
        </w:rPr>
        <w:t>Název příjemce:</w:t>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iCs/>
        </w:rPr>
      </w:pPr>
      <w:r w:rsidRPr="00747E4C">
        <w:rPr>
          <w:rFonts w:cs="Arial"/>
          <w:iCs/>
        </w:rPr>
        <w:t>Adresa sídla:</w:t>
      </w:r>
      <w:r w:rsidRPr="00747E4C">
        <w:rPr>
          <w:rFonts w:cs="Arial"/>
          <w:iCs/>
        </w:rPr>
        <w:tab/>
      </w:r>
      <w:r w:rsidRPr="00747E4C">
        <w:rPr>
          <w:rFonts w:cs="Arial"/>
          <w:iCs/>
        </w:rPr>
        <w:tab/>
      </w:r>
      <w:r w:rsidRPr="00747E4C">
        <w:rPr>
          <w:rFonts w:cs="Arial"/>
          <w:iCs/>
        </w:rPr>
        <w:tab/>
      </w:r>
    </w:p>
    <w:p w:rsidR="000F7B8B" w:rsidRPr="00747E4C" w:rsidRDefault="000F7B8B" w:rsidP="000F7B8B">
      <w:pPr>
        <w:pStyle w:val="Zhlav"/>
        <w:tabs>
          <w:tab w:val="clear" w:pos="4536"/>
          <w:tab w:val="clear" w:pos="9072"/>
        </w:tabs>
        <w:spacing w:after="60"/>
        <w:rPr>
          <w:rFonts w:cs="Arial"/>
          <w:iCs/>
        </w:rPr>
      </w:pPr>
      <w:r w:rsidRPr="00747E4C">
        <w:rPr>
          <w:rFonts w:cs="Arial"/>
        </w:rPr>
        <w:t xml:space="preserve">Statutární orgán: </w:t>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iCs/>
        </w:rPr>
      </w:pPr>
      <w:r w:rsidRPr="00747E4C">
        <w:rPr>
          <w:rFonts w:cs="Arial"/>
        </w:rPr>
        <w:t xml:space="preserve">IČ: </w:t>
      </w:r>
      <w:r w:rsidRPr="00747E4C">
        <w:rPr>
          <w:rFonts w:cs="Arial"/>
        </w:rPr>
        <w:tab/>
      </w:r>
      <w:r w:rsidRPr="00747E4C">
        <w:rPr>
          <w:rFonts w:cs="Arial"/>
        </w:rPr>
        <w:tab/>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rPr>
      </w:pPr>
      <w:r w:rsidRPr="00747E4C">
        <w:rPr>
          <w:rFonts w:cs="Arial"/>
        </w:rPr>
        <w:t xml:space="preserve">Bankovní účet příjemce: </w:t>
      </w:r>
      <w:r w:rsidRPr="00747E4C">
        <w:rPr>
          <w:rFonts w:cs="Arial"/>
        </w:rPr>
        <w:tab/>
      </w:r>
    </w:p>
    <w:p w:rsidR="000F7B8B" w:rsidRPr="00747E4C" w:rsidRDefault="000F7B8B" w:rsidP="000F7B8B">
      <w:pPr>
        <w:pStyle w:val="slovanseznam"/>
        <w:numPr>
          <w:ilvl w:val="0"/>
          <w:numId w:val="7"/>
        </w:numPr>
        <w:spacing w:before="240" w:line="240" w:lineRule="auto"/>
        <w:ind w:left="357" w:hanging="357"/>
        <w:rPr>
          <w:b/>
          <w:bCs/>
          <w:sz w:val="22"/>
          <w:szCs w:val="22"/>
        </w:rPr>
      </w:pPr>
      <w:r w:rsidRPr="00747E4C">
        <w:rPr>
          <w:b/>
          <w:bCs/>
          <w:sz w:val="22"/>
          <w:szCs w:val="22"/>
        </w:rPr>
        <w:t>Výše dotace a režim financování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126"/>
        <w:gridCol w:w="2268"/>
      </w:tblGrid>
      <w:tr w:rsidR="000F7B8B" w:rsidRPr="005C4078" w:rsidTr="001536B6">
        <w:trPr>
          <w:tblHeader/>
        </w:trPr>
        <w:tc>
          <w:tcPr>
            <w:tcW w:w="4678" w:type="dxa"/>
            <w:vAlign w:val="center"/>
          </w:tcPr>
          <w:p w:rsidR="000F7B8B" w:rsidRPr="00747E4C" w:rsidRDefault="000F7B8B" w:rsidP="001536B6">
            <w:pPr>
              <w:spacing w:before="40" w:after="40"/>
              <w:rPr>
                <w:rFonts w:cs="Arial"/>
                <w:b/>
                <w:snapToGrid w:val="0"/>
              </w:rPr>
            </w:pPr>
            <w:r w:rsidRPr="008202EC">
              <w:rPr>
                <w:rFonts w:cs="Arial"/>
                <w:b/>
                <w:snapToGrid w:val="0"/>
                <w:highlight w:val="yellow"/>
              </w:rPr>
              <w:t>Finanční rámec projektu</w:t>
            </w:r>
          </w:p>
        </w:tc>
        <w:tc>
          <w:tcPr>
            <w:tcW w:w="2126" w:type="dxa"/>
            <w:vAlign w:val="center"/>
          </w:tcPr>
          <w:p w:rsidR="000F7B8B" w:rsidRPr="00747E4C" w:rsidRDefault="000F7B8B" w:rsidP="001536B6">
            <w:pPr>
              <w:spacing w:before="40" w:after="40"/>
              <w:jc w:val="center"/>
              <w:rPr>
                <w:rFonts w:cs="Arial"/>
                <w:b/>
                <w:snapToGrid w:val="0"/>
              </w:rPr>
            </w:pPr>
            <w:r w:rsidRPr="00747E4C">
              <w:rPr>
                <w:rFonts w:cs="Arial"/>
                <w:b/>
                <w:snapToGrid w:val="0"/>
              </w:rPr>
              <w:t>Částka</w:t>
            </w:r>
          </w:p>
          <w:p w:rsidR="000F7B8B" w:rsidRPr="00747E4C" w:rsidRDefault="000F7B8B" w:rsidP="001536B6">
            <w:pPr>
              <w:spacing w:before="40" w:after="40"/>
              <w:jc w:val="center"/>
              <w:rPr>
                <w:rFonts w:cs="Arial"/>
                <w:b/>
                <w:snapToGrid w:val="0"/>
              </w:rPr>
            </w:pPr>
            <w:r w:rsidRPr="00747E4C">
              <w:rPr>
                <w:rFonts w:cs="Arial"/>
                <w:b/>
                <w:snapToGrid w:val="0"/>
              </w:rPr>
              <w:t>(v Kč)</w:t>
            </w:r>
          </w:p>
        </w:tc>
        <w:tc>
          <w:tcPr>
            <w:tcW w:w="2268" w:type="dxa"/>
            <w:vAlign w:val="center"/>
          </w:tcPr>
          <w:p w:rsidR="000F7B8B" w:rsidRPr="00747E4C" w:rsidRDefault="000F7B8B" w:rsidP="001536B6">
            <w:pPr>
              <w:spacing w:before="40" w:after="40"/>
              <w:jc w:val="center"/>
              <w:rPr>
                <w:rFonts w:cs="Arial"/>
                <w:b/>
                <w:snapToGrid w:val="0"/>
              </w:rPr>
            </w:pPr>
            <w:r w:rsidRPr="00747E4C">
              <w:rPr>
                <w:rFonts w:cs="Arial"/>
                <w:b/>
                <w:snapToGrid w:val="0"/>
              </w:rPr>
              <w:t>Podíl na celkovém rozpočtu</w:t>
            </w:r>
          </w:p>
          <w:p w:rsidR="000F7B8B" w:rsidRPr="00747E4C" w:rsidRDefault="000F7B8B" w:rsidP="001536B6">
            <w:pPr>
              <w:spacing w:before="40" w:after="40"/>
              <w:jc w:val="center"/>
              <w:rPr>
                <w:rFonts w:cs="Arial"/>
                <w:b/>
                <w:snapToGrid w:val="0"/>
              </w:rPr>
            </w:pPr>
            <w:r w:rsidRPr="00747E4C">
              <w:rPr>
                <w:rFonts w:cs="Arial"/>
                <w:b/>
                <w:snapToGrid w:val="0"/>
              </w:rPr>
              <w:t>(v %)</w:t>
            </w:r>
          </w:p>
        </w:tc>
      </w:tr>
      <w:tr w:rsidR="000F7B8B" w:rsidRPr="005C4078" w:rsidTr="001536B6">
        <w:tc>
          <w:tcPr>
            <w:tcW w:w="4678" w:type="dxa"/>
            <w:vAlign w:val="center"/>
          </w:tcPr>
          <w:p w:rsidR="000F7B8B" w:rsidRPr="00747E4C" w:rsidRDefault="000F7B8B" w:rsidP="001536B6">
            <w:pPr>
              <w:pStyle w:val="Normln12TNRCharCharCharChar"/>
              <w:widowControl w:val="0"/>
              <w:tabs>
                <w:tab w:val="left" w:pos="830"/>
              </w:tabs>
              <w:spacing w:before="40" w:after="40"/>
              <w:rPr>
                <w:rFonts w:asciiTheme="minorHAnsi" w:hAnsiTheme="minorHAnsi" w:cs="Arial"/>
                <w:snapToGrid w:val="0"/>
                <w:sz w:val="22"/>
              </w:rPr>
            </w:pPr>
            <w:r w:rsidRPr="00747E4C">
              <w:rPr>
                <w:rFonts w:asciiTheme="minorHAnsi" w:hAnsiTheme="minorHAnsi" w:cs="Arial"/>
                <w:snapToGrid w:val="0"/>
                <w:sz w:val="22"/>
              </w:rPr>
              <w:t>Celkové způsobilé náklady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pPr>
              <w:pStyle w:val="N1"/>
              <w:widowControl w:val="0"/>
              <w:spacing w:before="40" w:after="40"/>
              <w:jc w:val="both"/>
              <w:rPr>
                <w:rFonts w:asciiTheme="minorHAnsi" w:hAnsiTheme="minorHAnsi"/>
                <w:b w:val="0"/>
                <w:bCs/>
                <w:caps w:val="0"/>
                <w:snapToGrid w:val="0"/>
                <w:sz w:val="22"/>
                <w:szCs w:val="22"/>
              </w:rPr>
            </w:pPr>
            <w:r w:rsidRPr="00747E4C">
              <w:rPr>
                <w:rFonts w:asciiTheme="minorHAnsi" w:hAnsiTheme="minorHAnsi"/>
                <w:b w:val="0"/>
                <w:bCs/>
                <w:caps w:val="0"/>
                <w:snapToGrid w:val="0"/>
                <w:sz w:val="22"/>
                <w:szCs w:val="22"/>
              </w:rPr>
              <w:t xml:space="preserve">Vlastní financování způsobilých výdajů </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r w:rsidRPr="00747E4C">
              <w:t>Dotace</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12"/>
              </w:numPr>
              <w:overflowPunct w:val="0"/>
              <w:autoSpaceDE w:val="0"/>
              <w:autoSpaceDN w:val="0"/>
              <w:adjustRightInd w:val="0"/>
              <w:spacing w:line="240" w:lineRule="auto"/>
              <w:contextualSpacing w:val="0"/>
              <w:textAlignment w:val="baseline"/>
            </w:pPr>
            <w:r w:rsidRPr="00747E4C">
              <w:lastRenderedPageBreak/>
              <w:t>z toho z Azylového, migračního a integračního fondu, tj. prostředky poskytnuté ze státního rozpočtu na předfinancování výdajů, které mají být kryty prostředky z rozpočtu Evropské unie kromě prostředků z Národního fondu (§ 44 odst. 2 písm.  h) rozpočtových pravidel);</w:t>
            </w:r>
          </w:p>
        </w:tc>
        <w:tc>
          <w:tcPr>
            <w:tcW w:w="2126" w:type="dxa"/>
            <w:vAlign w:val="center"/>
          </w:tcPr>
          <w:p w:rsidR="000F7B8B" w:rsidRPr="00747E4C" w:rsidRDefault="000F7B8B" w:rsidP="001536B6">
            <w:pPr>
              <w:keepNext/>
              <w:spacing w:before="40" w:after="40"/>
              <w:jc w:val="center"/>
              <w:rPr>
                <w:rFonts w:cs="Arial"/>
                <w:b/>
              </w:rPr>
            </w:pPr>
            <w:r w:rsidRPr="00747E4C">
              <w:rPr>
                <w:rFonts w:cs="Arial"/>
              </w:rPr>
              <w:t>[…]</w:t>
            </w:r>
          </w:p>
        </w:tc>
        <w:tc>
          <w:tcPr>
            <w:tcW w:w="2268" w:type="dxa"/>
            <w:vAlign w:val="center"/>
          </w:tcPr>
          <w:p w:rsidR="000F7B8B" w:rsidRPr="00747E4C" w:rsidRDefault="000F7B8B" w:rsidP="001536B6">
            <w:pPr>
              <w:keepNext/>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textAlignment w:val="baseline"/>
              <w:rPr>
                <w:rFonts w:cs="Arial"/>
                <w:bCs/>
                <w:snapToGrid w:val="0"/>
              </w:rPr>
            </w:pPr>
            <w:r w:rsidRPr="00747E4C">
              <w:rPr>
                <w:rFonts w:cs="Arial"/>
                <w:bCs/>
                <w:snapToGrid w:val="0"/>
              </w:rPr>
              <w:t>z toho státní rozpočet, tj. prostředky ze státního rozpočtu na část národního spolufinancování (§ 44 odst. 2 písm. j) rozpočtových pravidel).</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pPr>
              <w:pStyle w:val="N1"/>
              <w:widowControl w:val="0"/>
              <w:spacing w:before="40" w:after="40"/>
              <w:jc w:val="both"/>
              <w:rPr>
                <w:rFonts w:asciiTheme="minorHAnsi" w:hAnsiTheme="minorHAnsi"/>
                <w:caps w:val="0"/>
                <w:snapToGrid w:val="0"/>
                <w:sz w:val="22"/>
                <w:szCs w:val="22"/>
              </w:rPr>
            </w:pPr>
            <w:r w:rsidRPr="00747E4C">
              <w:rPr>
                <w:rFonts w:asciiTheme="minorHAnsi" w:hAnsiTheme="minorHAnsi"/>
                <w:caps w:val="0"/>
                <w:snapToGrid w:val="0"/>
                <w:sz w:val="22"/>
                <w:szCs w:val="22"/>
              </w:rPr>
              <w:t>Rozdělení investičních a neinvestičních prostředků v rámci maximální částky dotace</w:t>
            </w:r>
            <w:r w:rsidRPr="00747E4C">
              <w:rPr>
                <w:rStyle w:val="Znakapoznpodarou"/>
                <w:rFonts w:asciiTheme="minorHAnsi" w:eastAsiaTheme="majorEastAsia" w:hAnsiTheme="minorHAnsi"/>
                <w:caps w:val="0"/>
                <w:snapToGrid w:val="0"/>
                <w:sz w:val="22"/>
                <w:szCs w:val="22"/>
              </w:rPr>
              <w:footnoteReference w:id="2"/>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jc w:val="left"/>
              <w:textAlignment w:val="baseline"/>
            </w:pPr>
            <w:r w:rsidRPr="00747E4C">
              <w:rPr>
                <w:rFonts w:cs="Arial"/>
                <w:bCs/>
                <w:snapToGrid w:val="0"/>
              </w:rPr>
              <w:t>neinvestiční prostředky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jc w:val="left"/>
              <w:textAlignment w:val="baseline"/>
              <w:rPr>
                <w:rFonts w:cs="Arial"/>
                <w:bCs/>
                <w:snapToGrid w:val="0"/>
              </w:rPr>
            </w:pPr>
            <w:r w:rsidRPr="00747E4C">
              <w:rPr>
                <w:rFonts w:cs="Arial"/>
                <w:bCs/>
                <w:snapToGrid w:val="0"/>
              </w:rPr>
              <w:t>investiční prostředky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bl>
    <w:p w:rsidR="000F7B8B" w:rsidRPr="00747E4C" w:rsidRDefault="000F7B8B" w:rsidP="000F7B8B">
      <w:pPr>
        <w:pStyle w:val="slovanseznam"/>
        <w:numPr>
          <w:ilvl w:val="1"/>
          <w:numId w:val="1"/>
        </w:numPr>
        <w:tabs>
          <w:tab w:val="num" w:pos="426"/>
        </w:tabs>
        <w:spacing w:before="240" w:line="240" w:lineRule="auto"/>
        <w:ind w:left="425" w:hanging="425"/>
        <w:rPr>
          <w:sz w:val="22"/>
          <w:szCs w:val="22"/>
        </w:rPr>
      </w:pPr>
      <w:r w:rsidRPr="00747E4C">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 xml:space="preserve">Dotace je poskytována na způsobilé výdaje projektu, které nejsou či nebudou kryty z příjmů projektu připadajících na způsobilé výdaje, ani z jiných zdrojů příjemce. </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Pro zapojení zdrojů financování dle výše uvedené tabulky jsou rozhodující hodnoty podílů vyjádřené v procentech. Vyjádření v Kč je jako závazné a maximálně možné stanoveno pouze pro zdroj „Azylový, migrační a integrační fond“, pro další zdroj se jedná o vyjádření pouze orientační.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 xml:space="preserve">Skutečná výše dotace, která bude příjemci poskytnuta, bude určena na základě skutečně vzniklých, odůvodněných a řádně prokázaných způsobilých výdajů. Výše dotace bude v souladu s pravidly NP AMIF a právními předpisy ČR a EU snížena o ty příjmy, které projekt vytvoří v průběhu své realizace. </w:t>
      </w:r>
    </w:p>
    <w:p w:rsidR="000F7B8B" w:rsidRPr="00747E4C" w:rsidRDefault="000F7B8B" w:rsidP="000F7B8B">
      <w:pPr>
        <w:pStyle w:val="slovanseznam"/>
        <w:numPr>
          <w:ilvl w:val="1"/>
          <w:numId w:val="1"/>
        </w:numPr>
        <w:tabs>
          <w:tab w:val="num" w:pos="426"/>
        </w:tabs>
        <w:spacing w:after="60" w:line="240" w:lineRule="auto"/>
        <w:ind w:left="425" w:hanging="425"/>
        <w:rPr>
          <w:sz w:val="22"/>
          <w:szCs w:val="22"/>
        </w:rPr>
      </w:pPr>
      <w:r w:rsidRPr="00747E4C">
        <w:rPr>
          <w:sz w:val="22"/>
          <w:szCs w:val="22"/>
        </w:rPr>
        <w:t>Dojde-li v průběhu realizace projektu ke snížení způsobilých výdajů prokázaných příjemcem, musí být vždy zachovány procentní podíly pro zapojení vlastního financování způsobilých výdajů a dotace uvedené v bodě 2.1 tohoto článku.</w:t>
      </w:r>
    </w:p>
    <w:p w:rsidR="000F7B8B" w:rsidRDefault="000F7B8B" w:rsidP="000F7B8B">
      <w:pPr>
        <w:pStyle w:val="slovanseznam"/>
        <w:numPr>
          <w:ilvl w:val="1"/>
          <w:numId w:val="1"/>
        </w:numPr>
        <w:tabs>
          <w:tab w:val="num" w:pos="426"/>
        </w:tabs>
        <w:spacing w:after="240" w:line="240" w:lineRule="auto"/>
        <w:ind w:left="425" w:hanging="425"/>
        <w:rPr>
          <w:sz w:val="22"/>
          <w:szCs w:val="22"/>
        </w:rPr>
      </w:pPr>
      <w:r w:rsidRPr="00747E4C">
        <w:rPr>
          <w:sz w:val="22"/>
          <w:szCs w:val="22"/>
        </w:rPr>
        <w:t>Režim financování projektu: ex-ante.</w:t>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t>Účel dotace</w:t>
      </w:r>
    </w:p>
    <w:p w:rsidR="000F7B8B" w:rsidRPr="00747E4C" w:rsidRDefault="000F7B8B" w:rsidP="000F7B8B">
      <w:pPr>
        <w:pStyle w:val="Zhlav"/>
        <w:tabs>
          <w:tab w:val="clear" w:pos="4536"/>
          <w:tab w:val="clear" w:pos="9072"/>
        </w:tabs>
        <w:spacing w:after="240"/>
        <w:rPr>
          <w:rFonts w:cs="Arial"/>
        </w:rPr>
      </w:pPr>
      <w:r w:rsidRPr="00747E4C">
        <w:rPr>
          <w:rFonts w:cs="Arial"/>
        </w:rPr>
        <w:t xml:space="preserve">V rámci realizace projektu identifikovaného názvem a registračním číslem v úvodní části tohoto Rozhodnutí je účelem dotace: </w:t>
      </w:r>
      <w:r w:rsidRPr="008202EC">
        <w:rPr>
          <w:rFonts w:cs="Arial"/>
          <w:highlight w:val="yellow"/>
        </w:rPr>
        <w:t>[…]</w:t>
      </w:r>
      <w:r w:rsidRPr="00747E4C">
        <w:rPr>
          <w:rFonts w:cs="Arial"/>
          <w:vertAlign w:val="superscript"/>
        </w:rPr>
        <w:footnoteReference w:id="3"/>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lastRenderedPageBreak/>
        <w:t>Lhůta, v níž má být dosaženo účelu</w:t>
      </w:r>
    </w:p>
    <w:p w:rsidR="000F7B8B" w:rsidRPr="00747E4C" w:rsidRDefault="000F7B8B" w:rsidP="000F7B8B">
      <w:pPr>
        <w:pStyle w:val="Zhlav"/>
        <w:tabs>
          <w:tab w:val="clear" w:pos="4536"/>
          <w:tab w:val="clear" w:pos="9072"/>
        </w:tabs>
        <w:spacing w:after="60"/>
        <w:rPr>
          <w:rFonts w:cs="Arial"/>
        </w:rPr>
      </w:pPr>
      <w:r w:rsidRPr="00747E4C">
        <w:rPr>
          <w:rFonts w:cs="Arial"/>
        </w:rPr>
        <w:t xml:space="preserve">Účelu dotace musí být dosaženo ve lhůtě: </w:t>
      </w:r>
    </w:p>
    <w:p w:rsidR="000F7B8B" w:rsidRPr="00747E4C" w:rsidRDefault="000F7B8B" w:rsidP="000F7B8B">
      <w:pPr>
        <w:pStyle w:val="Zhlav"/>
        <w:numPr>
          <w:ilvl w:val="0"/>
          <w:numId w:val="3"/>
        </w:numPr>
        <w:tabs>
          <w:tab w:val="left" w:pos="5940"/>
        </w:tabs>
        <w:spacing w:after="60" w:line="240" w:lineRule="auto"/>
        <w:rPr>
          <w:rFonts w:cs="Arial"/>
        </w:rPr>
      </w:pPr>
      <w:r w:rsidRPr="00747E4C">
        <w:rPr>
          <w:rFonts w:cs="Arial"/>
        </w:rPr>
        <w:t>datum zahájení realizace projektu:</w:t>
      </w:r>
      <w:r w:rsidRPr="00747E4C">
        <w:rPr>
          <w:rFonts w:cs="Arial"/>
        </w:rPr>
        <w:tab/>
      </w:r>
      <w:r w:rsidRPr="008202EC">
        <w:rPr>
          <w:rFonts w:cs="Arial"/>
          <w:highlight w:val="yellow"/>
        </w:rPr>
        <w:t>[…]</w:t>
      </w:r>
    </w:p>
    <w:p w:rsidR="000F7B8B" w:rsidRPr="00747E4C" w:rsidRDefault="000F7B8B" w:rsidP="000F7B8B">
      <w:pPr>
        <w:pStyle w:val="Zhlav"/>
        <w:numPr>
          <w:ilvl w:val="0"/>
          <w:numId w:val="3"/>
        </w:numPr>
        <w:tabs>
          <w:tab w:val="left" w:pos="5940"/>
        </w:tabs>
        <w:spacing w:after="240" w:line="240" w:lineRule="auto"/>
        <w:ind w:left="714" w:hanging="357"/>
        <w:rPr>
          <w:rFonts w:cs="Arial"/>
        </w:rPr>
      </w:pPr>
      <w:r w:rsidRPr="00747E4C">
        <w:rPr>
          <w:rFonts w:cs="Arial"/>
        </w:rPr>
        <w:t xml:space="preserve">datum ukončení realizace projektu nejpozději </w:t>
      </w:r>
      <w:proofErr w:type="gramStart"/>
      <w:r w:rsidRPr="00747E4C">
        <w:rPr>
          <w:rFonts w:cs="Arial"/>
        </w:rPr>
        <w:t>do</w:t>
      </w:r>
      <w:proofErr w:type="gramEnd"/>
      <w:r w:rsidRPr="00747E4C">
        <w:rPr>
          <w:rFonts w:cs="Arial"/>
        </w:rPr>
        <w:t>:</w:t>
      </w:r>
      <w:r w:rsidRPr="00747E4C">
        <w:rPr>
          <w:rFonts w:cs="Arial"/>
        </w:rPr>
        <w:tab/>
      </w:r>
      <w:r w:rsidRPr="008202EC">
        <w:rPr>
          <w:rFonts w:cs="Arial"/>
          <w:highlight w:val="yellow"/>
        </w:rPr>
        <w:t>[…]</w:t>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t>Vzájemná komunikace poskytovatele a příjemce</w:t>
      </w:r>
    </w:p>
    <w:p w:rsidR="000F7B8B" w:rsidRPr="00747E4C" w:rsidRDefault="000F7B8B" w:rsidP="000F7B8B">
      <w:pPr>
        <w:pStyle w:val="Zhlav"/>
        <w:tabs>
          <w:tab w:val="clear" w:pos="4536"/>
          <w:tab w:val="clear" w:pos="9072"/>
        </w:tabs>
        <w:spacing w:after="60"/>
        <w:rPr>
          <w:rFonts w:cs="Arial"/>
        </w:rPr>
      </w:pPr>
      <w:r w:rsidRPr="00747E4C">
        <w:rPr>
          <w:rFonts w:cs="Arial"/>
        </w:rPr>
        <w:t xml:space="preserve">Příjemce a poskytovatel budou v případě doručování písemností, které musí být opatřeny podpisem osoby oprávněné za daný subjekt jednat, přednostně datové schránky. Příjemce je povinen zajistit, aby se seznámil se všemi zprávami, které mu budou od poskytovatele doručeny prostřednictvím datových schránek a emailové pošty. Přijetím tohoto Rozhodnutí příjemce vyjadřuje souhlas s přednostním doručováním písemností prostřednictvím datové schránky. </w:t>
      </w:r>
    </w:p>
    <w:p w:rsidR="000F7B8B" w:rsidRPr="00747E4C" w:rsidRDefault="000F7B8B" w:rsidP="000F7B8B">
      <w:pPr>
        <w:spacing w:before="360"/>
        <w:jc w:val="center"/>
        <w:rPr>
          <w:rFonts w:cs="Arial"/>
          <w:b/>
        </w:rPr>
      </w:pPr>
      <w:r w:rsidRPr="00747E4C">
        <w:rPr>
          <w:rFonts w:cs="Arial"/>
          <w:b/>
        </w:rPr>
        <w:t xml:space="preserve">Část II </w:t>
      </w:r>
    </w:p>
    <w:p w:rsidR="000F7B8B" w:rsidRPr="00747E4C" w:rsidRDefault="000F7B8B" w:rsidP="000F7B8B">
      <w:pPr>
        <w:jc w:val="center"/>
        <w:rPr>
          <w:rFonts w:cs="Arial"/>
          <w:b/>
        </w:rPr>
      </w:pPr>
      <w:r w:rsidRPr="00747E4C">
        <w:rPr>
          <w:rFonts w:cs="Arial"/>
          <w:b/>
        </w:rPr>
        <w:t>Obecné povinnosti příjemce dotace</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Užití dotace </w:t>
      </w:r>
    </w:p>
    <w:p w:rsidR="000F7B8B" w:rsidRPr="00747E4C" w:rsidRDefault="000F7B8B" w:rsidP="000F7B8B">
      <w:pPr>
        <w:pStyle w:val="slovanseznam"/>
        <w:numPr>
          <w:ilvl w:val="1"/>
          <w:numId w:val="8"/>
        </w:numPr>
        <w:spacing w:line="240" w:lineRule="auto"/>
        <w:rPr>
          <w:sz w:val="22"/>
          <w:szCs w:val="22"/>
        </w:rPr>
      </w:pPr>
      <w:r w:rsidRPr="00747E4C">
        <w:rPr>
          <w:sz w:val="22"/>
          <w:szCs w:val="22"/>
        </w:rPr>
        <w:t>Použití dotace je upraveno nejen tímto Rozhodnutím a právními předpisy ČR a EU, ale rovněž pravidly, která nemají povahu právních předpisů a jsou vydávána poskytovatelem ve formě dokumentů:</w:t>
      </w:r>
    </w:p>
    <w:p w:rsidR="000F7B8B" w:rsidRPr="00747E4C" w:rsidRDefault="000F7B8B" w:rsidP="000F7B8B">
      <w:pPr>
        <w:pStyle w:val="slovanseznam"/>
        <w:numPr>
          <w:ilvl w:val="0"/>
          <w:numId w:val="4"/>
        </w:numPr>
        <w:tabs>
          <w:tab w:val="num" w:pos="1620"/>
        </w:tabs>
        <w:spacing w:after="0" w:line="240" w:lineRule="auto"/>
        <w:rPr>
          <w:sz w:val="22"/>
          <w:szCs w:val="22"/>
        </w:rPr>
      </w:pPr>
      <w:r w:rsidRPr="00747E4C">
        <w:rPr>
          <w:sz w:val="22"/>
          <w:szCs w:val="22"/>
        </w:rPr>
        <w:t>Příručka pro žadatele a příjemce finanční podpory NP AMIF</w:t>
      </w:r>
    </w:p>
    <w:p w:rsidR="000F7B8B" w:rsidRPr="008202EC" w:rsidRDefault="000F7B8B" w:rsidP="000F7B8B">
      <w:pPr>
        <w:pStyle w:val="slovanseznam"/>
        <w:numPr>
          <w:ilvl w:val="0"/>
          <w:numId w:val="4"/>
        </w:numPr>
        <w:tabs>
          <w:tab w:val="num" w:pos="1478"/>
        </w:tabs>
        <w:spacing w:line="240" w:lineRule="auto"/>
        <w:ind w:left="1066" w:hanging="357"/>
        <w:rPr>
          <w:sz w:val="22"/>
          <w:szCs w:val="22"/>
          <w:highlight w:val="yellow"/>
        </w:rPr>
      </w:pPr>
      <w:r w:rsidRPr="008202EC">
        <w:rPr>
          <w:sz w:val="22"/>
          <w:szCs w:val="22"/>
          <w:highlight w:val="yellow"/>
        </w:rPr>
        <w:t>[…]</w:t>
      </w:r>
    </w:p>
    <w:p w:rsidR="000F7B8B" w:rsidRPr="00747E4C" w:rsidRDefault="000F7B8B" w:rsidP="000F7B8B">
      <w:pPr>
        <w:pStyle w:val="slovanseznam"/>
        <w:spacing w:after="240"/>
        <w:ind w:left="709"/>
        <w:rPr>
          <w:sz w:val="22"/>
          <w:szCs w:val="22"/>
        </w:rPr>
      </w:pPr>
      <w:r w:rsidRPr="00747E4C">
        <w:rPr>
          <w:sz w:val="22"/>
          <w:szCs w:val="22"/>
        </w:rPr>
        <w:t xml:space="preserve">Dokumenty uvedené v odrážkách jsou uveřejněny na webovém portálu Odpovědného orgánu </w:t>
      </w:r>
      <w:hyperlink r:id="rId8" w:history="1">
        <w:r w:rsidRPr="00747E4C">
          <w:rPr>
            <w:rStyle w:val="Hypertextovodkaz"/>
            <w:sz w:val="22"/>
            <w:szCs w:val="22"/>
          </w:rPr>
          <w:t>www.mvcr.cz</w:t>
        </w:r>
      </w:hyperlink>
      <w:r w:rsidRPr="00747E4C">
        <w:rPr>
          <w:sz w:val="22"/>
          <w:szCs w:val="22"/>
        </w:rPr>
        <w:t xml:space="preserve"> provozovaném poskytovatelem. Dále v textu tohoto Rozhodnutí je obsah těchto dokumentů označen souhrnně také jako „pravidla NP AMIF“. Pravidla NP AMIF  jsou pro příjemce závazná. Závaznou verzí dokumentů uvedených v odrážkách je verze platná ke dni uskutečnění příslušného úkonu souvisejícího s realizací projektu nebo v den porušení příslušného ustanovení plynoucího z právních předpisů, Rozhodnutí či pravidel NP AMIF. V případě zadávání zakázek je pro příjemce závazná verze pravidel platná </w:t>
      </w:r>
      <w:r w:rsidRPr="00747E4C">
        <w:rPr>
          <w:iCs/>
          <w:sz w:val="22"/>
          <w:szCs w:val="22"/>
        </w:rPr>
        <w:t>v den zahájení zadávání zakázky</w:t>
      </w:r>
      <w:r w:rsidRPr="00747E4C">
        <w:rPr>
          <w:sz w:val="22"/>
          <w:szCs w:val="22"/>
        </w:rPr>
        <w:t>. O vydání nové verze pravidel NP AMIF uvědomí příjemce bez zbytečného odkladu elektronickou formou prostřednictvím emailové pošty. V případě rozporu obsahu tohoto Rozhodnutí a obsahu dokumentů v odrážkách má přednost obsah tohoto Rozhodnutí.</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Splnění účelu a realizace projektu</w:t>
      </w:r>
    </w:p>
    <w:p w:rsidR="000F7B8B" w:rsidRPr="00747E4C" w:rsidRDefault="000F7B8B" w:rsidP="000F7B8B">
      <w:pPr>
        <w:pStyle w:val="slovanseznam"/>
        <w:numPr>
          <w:ilvl w:val="1"/>
          <w:numId w:val="8"/>
        </w:numPr>
        <w:spacing w:line="240" w:lineRule="auto"/>
        <w:rPr>
          <w:sz w:val="22"/>
          <w:szCs w:val="22"/>
        </w:rPr>
      </w:pPr>
      <w:r w:rsidRPr="00747E4C">
        <w:rPr>
          <w:sz w:val="22"/>
          <w:szCs w:val="22"/>
        </w:rPr>
        <w:t xml:space="preserve">Příjemce dotace je povinen splnit účel dotace uvedený v části I. bodě 3 tohoto Rozhodnutí. </w:t>
      </w:r>
    </w:p>
    <w:p w:rsidR="000F7B8B" w:rsidRPr="00747E4C" w:rsidRDefault="000F7B8B" w:rsidP="000F7B8B">
      <w:pPr>
        <w:pStyle w:val="slovanseznam"/>
        <w:numPr>
          <w:ilvl w:val="1"/>
          <w:numId w:val="8"/>
        </w:numPr>
        <w:spacing w:after="0" w:line="240" w:lineRule="auto"/>
        <w:rPr>
          <w:sz w:val="22"/>
          <w:szCs w:val="22"/>
        </w:rPr>
      </w:pPr>
      <w:r w:rsidRPr="00747E4C">
        <w:rPr>
          <w:sz w:val="22"/>
          <w:szCs w:val="22"/>
        </w:rPr>
        <w:t>Příjemce je povinen při realizaci projektu dodržet údaje a skutečnosti, které jsou uvedeny v Žádosti o podporu</w:t>
      </w:r>
      <w:r w:rsidR="00616E76">
        <w:rPr>
          <w:sz w:val="22"/>
          <w:szCs w:val="22"/>
        </w:rPr>
        <w:t xml:space="preserve"> a Rozpočtu projektu, které jsou</w:t>
      </w:r>
      <w:r w:rsidRPr="00747E4C">
        <w:rPr>
          <w:sz w:val="22"/>
          <w:szCs w:val="22"/>
        </w:rPr>
        <w:t xml:space="preserve"> příloh</w:t>
      </w:r>
      <w:r w:rsidR="00616E76">
        <w:rPr>
          <w:sz w:val="22"/>
          <w:szCs w:val="22"/>
        </w:rPr>
        <w:t>ami</w:t>
      </w:r>
      <w:r w:rsidRPr="00747E4C">
        <w:rPr>
          <w:sz w:val="22"/>
          <w:szCs w:val="22"/>
        </w:rPr>
        <w:t xml:space="preserve"> č. 1</w:t>
      </w:r>
      <w:r w:rsidR="00616E76">
        <w:rPr>
          <w:sz w:val="22"/>
          <w:szCs w:val="22"/>
        </w:rPr>
        <w:t xml:space="preserve"> a 2</w:t>
      </w:r>
      <w:r w:rsidRPr="00747E4C">
        <w:rPr>
          <w:sz w:val="22"/>
          <w:szCs w:val="22"/>
        </w:rPr>
        <w:t xml:space="preserve"> tohoto Rozhodnutí, ve znění případných změn, ke kterým je příjemce oprávněn dle pravidel NP AMIF bez souhlasu poskytovatele, anebo ve znění změn, které poskytovatel dle pravidel NP AMIF schválil.</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Způsobilé výdaje</w:t>
      </w:r>
    </w:p>
    <w:p w:rsidR="000F7B8B" w:rsidRPr="00747E4C" w:rsidRDefault="000F7B8B" w:rsidP="000F7B8B">
      <w:pPr>
        <w:pStyle w:val="slovanseznam"/>
        <w:numPr>
          <w:ilvl w:val="1"/>
          <w:numId w:val="8"/>
        </w:numPr>
        <w:spacing w:line="240" w:lineRule="auto"/>
        <w:rPr>
          <w:sz w:val="22"/>
          <w:szCs w:val="22"/>
        </w:rPr>
      </w:pPr>
      <w:r w:rsidRPr="00747E4C">
        <w:rPr>
          <w:sz w:val="22"/>
          <w:szCs w:val="22"/>
        </w:rPr>
        <w:t>Příjemce dotace je oprávněn použít dotaci pouze na výdaje, které souvisejí s realizací projektu, jsou uvedeny ve schváleném rozpočtu projektu, příp. v rozpočtu, který příjemce upravil v souladu s pravidly NP AMIF, a je možné je dle pravidel NP AMIF považovat za způsobilé.</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lastRenderedPageBreak/>
        <w:t>Příjemce se zavazuje nakupovat zboží, služby a stavební práce nejefektivnějším možným způsobem v daném čase a místě. Částky specifikované ve schváleném rozpočtu projektu nelze automaticky považovat za částky nejefektivnější.</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dotace je povinen zajistit úhradu veškerých výdajů projektu, které nejsou kryty výše uvedenou dotací (např. nezpůsobilé výdaje), aby byl dodržen účel poskytnutí dotace na daný projekt.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Udržitelnost projektu </w:t>
      </w:r>
    </w:p>
    <w:p w:rsidR="000F7B8B" w:rsidRPr="00747E4C" w:rsidRDefault="000F7B8B" w:rsidP="000F7B8B">
      <w:pPr>
        <w:pStyle w:val="slovanseznam"/>
        <w:rPr>
          <w:sz w:val="22"/>
          <w:szCs w:val="22"/>
        </w:rPr>
      </w:pPr>
      <w:r w:rsidRPr="00747E4C">
        <w:rPr>
          <w:sz w:val="22"/>
          <w:szCs w:val="22"/>
        </w:rPr>
        <w:t xml:space="preserve">V případech, kdy projekt podle platných pravidel NP AMIF podléhá povinnosti zachování investice, je příjemce povinen zajistit, aby ve stanoveném období od jejího pořízení v projektu nedošlo ke změně účelu použití investice nebo zastavení využívání investice mimo schválenou programovou oblast podpory v rámci NP AMIF. Příjemce je povinen zajistit udržení investice </w:t>
      </w:r>
      <w:r w:rsidRPr="008202EC">
        <w:rPr>
          <w:sz w:val="22"/>
          <w:szCs w:val="22"/>
          <w:highlight w:val="yellow"/>
        </w:rPr>
        <w:t xml:space="preserve">…. </w:t>
      </w:r>
      <w:proofErr w:type="gramStart"/>
      <w:r w:rsidRPr="008202EC">
        <w:rPr>
          <w:sz w:val="22"/>
          <w:szCs w:val="22"/>
          <w:highlight w:val="yellow"/>
        </w:rPr>
        <w:t>po</w:t>
      </w:r>
      <w:proofErr w:type="gramEnd"/>
      <w:r w:rsidRPr="008202EC">
        <w:rPr>
          <w:sz w:val="22"/>
          <w:szCs w:val="22"/>
          <w:highlight w:val="yellow"/>
        </w:rPr>
        <w:t xml:space="preserve"> stanovenou dobu 3/5</w:t>
      </w:r>
      <w:r w:rsidRPr="00747E4C">
        <w:rPr>
          <w:sz w:val="22"/>
          <w:szCs w:val="22"/>
        </w:rPr>
        <w:t xml:space="preserve"> let od doby jejího pořízení v rámci realizace projektu.</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Vedení účetnictví </w:t>
      </w:r>
    </w:p>
    <w:p w:rsidR="000F7B8B" w:rsidRDefault="000F7B8B" w:rsidP="000F7B8B">
      <w:pPr>
        <w:pStyle w:val="slovanseznam"/>
        <w:numPr>
          <w:ilvl w:val="1"/>
          <w:numId w:val="8"/>
        </w:numPr>
        <w:tabs>
          <w:tab w:val="num" w:pos="720"/>
        </w:tabs>
        <w:spacing w:line="240" w:lineRule="auto"/>
        <w:rPr>
          <w:sz w:val="22"/>
          <w:szCs w:val="22"/>
        </w:rPr>
      </w:pPr>
      <w:r w:rsidRPr="00747E4C">
        <w:rPr>
          <w:sz w:val="22"/>
          <w:szCs w:val="22"/>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bodu f) tohoto zákona) a aby předmětné doklady byly správné, úplné, průkazné, srozumitelné, vedené v písemné formě chronologicky a způsobem zaručujícím jejich trvanlivost a aby uskutečněné příjmy a výdaje byly s výjimkou výdajů, které jsou financovány jakožto paušální výdaje dle § 14 odst. 7 rozpočtových pravidel, vedeny s jednoznačnou vazbou na projekt.</w:t>
      </w:r>
    </w:p>
    <w:p w:rsidR="00484B95" w:rsidRPr="00484B95" w:rsidRDefault="00484B95" w:rsidP="00484B95">
      <w:pPr>
        <w:pStyle w:val="slovanseznam"/>
        <w:numPr>
          <w:ilvl w:val="1"/>
          <w:numId w:val="8"/>
        </w:numPr>
        <w:tabs>
          <w:tab w:val="num" w:pos="720"/>
        </w:tabs>
        <w:spacing w:line="240" w:lineRule="auto"/>
        <w:rPr>
          <w:sz w:val="22"/>
        </w:rPr>
      </w:pPr>
      <w:r w:rsidRPr="00EF7301">
        <w:rPr>
          <w:sz w:val="22"/>
        </w:rPr>
        <w:t xml:space="preserve">V případě, že příjemcem projektu nebo partnerem projektu je mezinárodní organizace, která nevede účetnictví podle zákona č. 563/1991 Sb., o účetnictví, </w:t>
      </w:r>
      <w:r>
        <w:rPr>
          <w:sz w:val="22"/>
        </w:rPr>
        <w:t xml:space="preserve">vede </w:t>
      </w:r>
      <w:r w:rsidRPr="00EF7301">
        <w:rPr>
          <w:sz w:val="22"/>
        </w:rPr>
        <w:t xml:space="preserve">účetnictví projektu podle mezinárodně platných účetních standardů, které splňují základní zásady (zásada věrného a poctivého zobrazení tzv. fair and </w:t>
      </w:r>
      <w:proofErr w:type="spellStart"/>
      <w:r w:rsidRPr="00EF7301">
        <w:rPr>
          <w:sz w:val="22"/>
        </w:rPr>
        <w:t>true</w:t>
      </w:r>
      <w:proofErr w:type="spellEnd"/>
      <w:r w:rsidRPr="00EF7301">
        <w:rPr>
          <w:sz w:val="22"/>
        </w:rPr>
        <w:t xml:space="preserve"> </w:t>
      </w:r>
      <w:proofErr w:type="spellStart"/>
      <w:r w:rsidRPr="00EF7301">
        <w:rPr>
          <w:sz w:val="22"/>
        </w:rPr>
        <w:t>view</w:t>
      </w:r>
      <w:proofErr w:type="spellEnd"/>
      <w:r w:rsidRPr="00EF7301">
        <w:rPr>
          <w:sz w:val="22"/>
        </w:rPr>
        <w:t>, zásada účetní jednotky, zásada objektivity účetních informací, akruální princip).</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je povinen předat ve lhůtě stanovené poskytovatelem poskytovateli na jeho vyžádání účetní záznamy a další doklady vztahující se k projektu převedené do digitální podoby.</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Zakázky </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Při zadávání zakázek v rámci realizace projektu je příjemce povinen postupovat v souladu s pravidly NP AMIF.</w:t>
      </w:r>
    </w:p>
    <w:p w:rsidR="000F7B8B" w:rsidRDefault="000F7B8B" w:rsidP="000F7B8B">
      <w:pPr>
        <w:pStyle w:val="slovanseznam"/>
        <w:numPr>
          <w:ilvl w:val="1"/>
          <w:numId w:val="8"/>
        </w:numPr>
        <w:tabs>
          <w:tab w:val="num" w:pos="720"/>
        </w:tabs>
        <w:spacing w:after="0" w:line="240" w:lineRule="auto"/>
        <w:rPr>
          <w:sz w:val="22"/>
          <w:szCs w:val="22"/>
        </w:rPr>
      </w:pPr>
      <w:r w:rsidRPr="00747E4C">
        <w:rPr>
          <w:sz w:val="22"/>
          <w:szCs w:val="22"/>
        </w:rPr>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rsidR="000F7B8B" w:rsidRDefault="000F7B8B" w:rsidP="000F7B8B">
      <w:pPr>
        <w:pStyle w:val="slovanseznam"/>
        <w:spacing w:before="240" w:line="240" w:lineRule="auto"/>
        <w:rPr>
          <w:b/>
          <w:bCs/>
          <w:sz w:val="22"/>
          <w:szCs w:val="22"/>
        </w:rPr>
      </w:pP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Kontrola </w:t>
      </w:r>
    </w:p>
    <w:p w:rsidR="000F7B8B" w:rsidRPr="00747E4C" w:rsidRDefault="000F7B8B" w:rsidP="000F7B8B">
      <w:pPr>
        <w:pStyle w:val="Zhlav"/>
        <w:tabs>
          <w:tab w:val="clear" w:pos="4536"/>
          <w:tab w:val="clear" w:pos="9072"/>
        </w:tabs>
        <w:spacing w:after="240"/>
        <w:rPr>
          <w:rFonts w:cs="Arial"/>
        </w:rPr>
      </w:pPr>
      <w:r w:rsidRPr="00747E4C">
        <w:rPr>
          <w:rFonts w:cs="Arial"/>
        </w:rPr>
        <w:t xml:space="preserve">Příjemce dotace je povinen za účelem ověření plnění povinností vyplývajících z tohoto Rozhodnutí vytvořit podmínky k provedení kontroly vztahující se k realizaci projektu, poskytnout oprávněným </w:t>
      </w:r>
      <w:r w:rsidRPr="00747E4C">
        <w:rPr>
          <w:rFonts w:cs="Arial"/>
        </w:rPr>
        <w:lastRenderedPageBreak/>
        <w:t>osobám veškeré doklady vážící se k realizaci projektu, umožnit průběžné ověřování souladu údajů o realizaci projektu uváděných v monitorovacích zprávách o realizaci projektu se skutečným stavem v místě jeho realizace a poskytnout součinnost všem osobám oprávněným k provádění kontroly. Těmito oprávněnými osobami jsou poskytovatel dotace (Odpovědný orgán), územní finanční orgány, Ministerstvo financí, Nejvyšší kontrolní úřad, Evropská komise a Evropský účetní dvůr, případně další orgány oprávněné k výkonu kontroly.</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Informační a komunikační opatření</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provádět informační a komunikační opatření projektu v souladu s pravidly NP AMIF.</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zajistit nápravu nedostatku týkající se provádění informačních a komunikačních opatření projektu ve lhůtě a způsobem specifikovaným ve výzvě k provedení této nápravy, kterou příjemci adresuje poskytovatel.</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Poskytování údajů o realizaci projektu </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na základě žádosti poskytovatele nebo Ministerstva financí poskytnout těmto subjektům písemně jakékoliv doplňující informace související s realizací projektu (zejména má v této souvislosti povinnost poskytnout veškeré informace o výsledcích kontrol a auditů, včetně kontrolních protokolů z kontrol provedených v souvislosti s projektem), a to ve lhůtě stanovené poskytovatelem.</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Oznamovací povinnost</w:t>
      </w:r>
    </w:p>
    <w:p w:rsidR="000F7B8B" w:rsidRPr="00747E4C" w:rsidRDefault="00ED3D20" w:rsidP="000F7B8B">
      <w:pPr>
        <w:pStyle w:val="slovanseznam"/>
        <w:numPr>
          <w:ilvl w:val="1"/>
          <w:numId w:val="8"/>
        </w:numPr>
        <w:tabs>
          <w:tab w:val="num" w:pos="720"/>
        </w:tabs>
        <w:spacing w:after="0" w:line="240" w:lineRule="auto"/>
        <w:rPr>
          <w:sz w:val="22"/>
          <w:szCs w:val="22"/>
        </w:rPr>
      </w:pPr>
      <w:r w:rsidRPr="00B46380">
        <w:rPr>
          <w:sz w:val="22"/>
          <w:szCs w:val="22"/>
        </w:rPr>
        <w:t>Příjemce je povinen Poskytovatele dotace informovat o zahájeném insolvenčním řízení, a to do 5 dnů od uveřejnění vyhlášky o insolvenčním návrhu na portálu https://isir.justice.cz. Příjemce je dále povinen informovat Poskytovatele dotace</w:t>
      </w:r>
      <w:r w:rsidRPr="00B753E9">
        <w:t xml:space="preserve"> </w:t>
      </w:r>
      <w:r w:rsidRPr="00B46380">
        <w:rPr>
          <w:sz w:val="22"/>
          <w:szCs w:val="22"/>
        </w:rPr>
        <w:t>o vstupu Příjemce do likvidace, a to do 5 dnů od uveřejnění výzvy likvidátora k přihlášení pohledávek uveřejněné na portálu http://ov.gov.cz.</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je povinen dodržet pravidla NP AMIF upravující oznamování změn týkajících se projektu.</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Zákaz čerpání jiných podpor</w:t>
      </w:r>
    </w:p>
    <w:p w:rsidR="000F7B8B" w:rsidRDefault="000F7B8B" w:rsidP="000F7B8B">
      <w:pPr>
        <w:pStyle w:val="Zhlav"/>
        <w:tabs>
          <w:tab w:val="clear" w:pos="4536"/>
          <w:tab w:val="clear" w:pos="9072"/>
        </w:tabs>
        <w:spacing w:after="240"/>
        <w:rPr>
          <w:rFonts w:cs="Arial"/>
        </w:rPr>
      </w:pPr>
      <w:r w:rsidRPr="00747E4C">
        <w:rPr>
          <w:rFonts w:cs="Arial"/>
        </w:rPr>
        <w:t xml:space="preserve">Příjemce není oprávněn čerpat na výdaje projektu, na které je poskytována dotace, jiné finanční prostředky z rozpočtových kapitol státního rozpočtu ČR, státních fondů, z rozpočtů obcí, měst a krajů, strukturálních fondů nebo jiných prostředků EU, než jsou prostředky uvedené v čl. I bodě 2.1 tohoto Rozhodnutí. V případě, že do projektu jsou zařazeny jen výdaje na pořízení či zajištění části určitého celku, pravidlo z předchozí věty se vztahuje jen na tu část výdajů, na kterou je poskytována dotace. </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Vypořádání projektu</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dotaci finančně vypořádat v souladu s rozpočtovými pravidly a vyhláškou č. 367/2015 Sb., o zásadách a lhůtách finančního vypořádání vztahů se státním rozpočtem, státními finančními aktivy a Národním fondem (vyhláška o finančním vypořádání)</w:t>
      </w:r>
      <w:r w:rsidRPr="00747E4C">
        <w:rPr>
          <w:rFonts w:cs="Arial"/>
          <w:vertAlign w:val="superscript"/>
        </w:rPr>
        <w:footnoteReference w:id="4"/>
      </w:r>
      <w:r w:rsidR="006E6917">
        <w:rPr>
          <w:rFonts w:cs="Arial"/>
        </w:rPr>
        <w:t>, ve znění pozdějších předpisů</w:t>
      </w:r>
      <w:r w:rsidRPr="00747E4C">
        <w:rPr>
          <w:rFonts w:cs="Arial"/>
        </w:rPr>
        <w: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Uchovávání dokumentů</w:t>
      </w:r>
    </w:p>
    <w:p w:rsidR="000F7B8B" w:rsidRPr="00747E4C" w:rsidRDefault="000F7B8B" w:rsidP="000F7B8B">
      <w:pPr>
        <w:pStyle w:val="Zhlav"/>
        <w:tabs>
          <w:tab w:val="clear" w:pos="4536"/>
          <w:tab w:val="clear" w:pos="9072"/>
        </w:tabs>
        <w:spacing w:after="240"/>
        <w:rPr>
          <w:rFonts w:cs="Arial"/>
        </w:rPr>
      </w:pPr>
      <w:r w:rsidRPr="00747E4C">
        <w:rPr>
          <w:rFonts w:cs="Arial"/>
        </w:rPr>
        <w:lastRenderedPageBreak/>
        <w:t>Příjemce dotace je povinen uchovat veškeré dokumenty související s realizací projektu v souladu s platnými právními předpisy ČR, zejména v souladu s § 44a odst. 11 rozpočtových pravidel</w:t>
      </w:r>
      <w:r w:rsidRPr="00747E4C">
        <w:rPr>
          <w:rFonts w:cs="Arial"/>
          <w:vertAlign w:val="superscript"/>
        </w:rPr>
        <w:footnoteReference w:id="5"/>
      </w:r>
      <w:r w:rsidRPr="00747E4C">
        <w:rPr>
          <w:rFonts w:cs="Arial"/>
        </w:rPr>
        <w:t xml:space="preserve"> a pravidly NP AMIF.</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Péče o majetek </w:t>
      </w:r>
    </w:p>
    <w:p w:rsidR="000F7B8B" w:rsidRPr="00747E4C" w:rsidRDefault="000F7B8B" w:rsidP="000F7B8B">
      <w:pPr>
        <w:pStyle w:val="slovanseznam"/>
        <w:spacing w:after="240"/>
        <w:rPr>
          <w:iCs/>
          <w:sz w:val="22"/>
          <w:szCs w:val="22"/>
        </w:rPr>
      </w:pPr>
      <w:r w:rsidRPr="00747E4C">
        <w:rPr>
          <w:iCs/>
          <w:sz w:val="22"/>
          <w:szCs w:val="22"/>
        </w:rPr>
        <w:t>Příjemce dotace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747E4C">
        <w:rPr>
          <w:sz w:val="22"/>
          <w:szCs w:val="22"/>
        </w:rPr>
        <w: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Práva duševního vlastnictví</w:t>
      </w:r>
    </w:p>
    <w:p w:rsidR="000F7B8B" w:rsidRPr="00747E4C" w:rsidRDefault="000F7B8B" w:rsidP="000F7B8B">
      <w:pPr>
        <w:pStyle w:val="slovanseznam"/>
        <w:spacing w:after="240"/>
        <w:rPr>
          <w:b/>
          <w:sz w:val="22"/>
          <w:szCs w:val="22"/>
        </w:rPr>
      </w:pPr>
      <w:r w:rsidRPr="00747E4C">
        <w:rPr>
          <w:iCs/>
          <w:sz w:val="22"/>
          <w:szCs w:val="22"/>
        </w:rPr>
        <w:t xml:space="preserve">Příjemce dotace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dotace, je příjemce dotace povinen ve smlouvě uzavřené s dodavatelem zajistit pro poskytovatele neomezenou bezplatnou licenci k užití těchto práv včetně možnosti zcela nebo zčásti poskytnout třetí osobě oprávnění tvořící součást licence. </w:t>
      </w:r>
    </w:p>
    <w:p w:rsidR="000F7B8B" w:rsidRPr="008202EC" w:rsidRDefault="000F7B8B" w:rsidP="000F7B8B">
      <w:pPr>
        <w:pStyle w:val="slovanseznam"/>
        <w:numPr>
          <w:ilvl w:val="0"/>
          <w:numId w:val="8"/>
        </w:numPr>
        <w:spacing w:before="240" w:line="240" w:lineRule="auto"/>
        <w:ind w:left="357" w:hanging="357"/>
        <w:rPr>
          <w:b/>
          <w:bCs/>
          <w:sz w:val="22"/>
          <w:szCs w:val="22"/>
          <w:highlight w:val="yellow"/>
        </w:rPr>
      </w:pPr>
      <w:r w:rsidRPr="008202EC">
        <w:rPr>
          <w:b/>
          <w:bCs/>
          <w:sz w:val="22"/>
          <w:szCs w:val="22"/>
          <w:highlight w:val="yellow"/>
        </w:rPr>
        <w:t>Partnerství</w:t>
      </w:r>
      <w:r w:rsidRPr="008202EC">
        <w:rPr>
          <w:bCs/>
          <w:sz w:val="22"/>
          <w:szCs w:val="22"/>
          <w:highlight w:val="yellow"/>
          <w:vertAlign w:val="superscript"/>
        </w:rPr>
        <w:footnoteReference w:id="6"/>
      </w:r>
    </w:p>
    <w:p w:rsidR="000F7B8B" w:rsidRPr="008202EC" w:rsidRDefault="000F7B8B" w:rsidP="000F7B8B">
      <w:pPr>
        <w:pStyle w:val="slovanseznam"/>
        <w:numPr>
          <w:ilvl w:val="1"/>
          <w:numId w:val="8"/>
        </w:numPr>
        <w:tabs>
          <w:tab w:val="num" w:pos="720"/>
        </w:tabs>
        <w:spacing w:after="0" w:line="240" w:lineRule="auto"/>
        <w:rPr>
          <w:sz w:val="22"/>
          <w:szCs w:val="22"/>
          <w:highlight w:val="yellow"/>
        </w:rPr>
      </w:pPr>
      <w:r w:rsidRPr="008202EC">
        <w:rPr>
          <w:sz w:val="22"/>
          <w:szCs w:val="22"/>
          <w:highlight w:val="yellow"/>
        </w:rPr>
        <w:t>Příjemce dotace je povinen zajistit, aby vztahy mezi příjemcem a jeho partnery, jejichž seznam je součástí Žádosti o podporu v Příloze č. 1 tohoto Rozhodnutí, po celou dobu realizace projektu odpovídaly pravidlům NP AMIF.</w:t>
      </w:r>
    </w:p>
    <w:p w:rsidR="000F7B8B" w:rsidRPr="008202EC" w:rsidRDefault="000F7B8B" w:rsidP="000F7B8B">
      <w:pPr>
        <w:pStyle w:val="slovanseznam"/>
        <w:numPr>
          <w:ilvl w:val="1"/>
          <w:numId w:val="8"/>
        </w:numPr>
        <w:tabs>
          <w:tab w:val="num" w:pos="720"/>
        </w:tabs>
        <w:spacing w:after="0" w:line="240" w:lineRule="auto"/>
        <w:rPr>
          <w:sz w:val="22"/>
          <w:szCs w:val="22"/>
          <w:highlight w:val="yellow"/>
        </w:rPr>
      </w:pPr>
      <w:r w:rsidRPr="008202EC">
        <w:rPr>
          <w:sz w:val="22"/>
          <w:szCs w:val="22"/>
          <w:highlight w:val="yellow"/>
        </w:rPr>
        <w:t>Příjemce dotace odpovídá za splnění všech povinností. Pokud některý z partnerů poruší některou z povinností, odpovídá příjemce dotace podle části IV tohoto Rozhodnutí, jakoby tuto povinnost porušil sám.</w:t>
      </w:r>
    </w:p>
    <w:p w:rsidR="000F7B8B" w:rsidRPr="008202EC" w:rsidRDefault="000F7B8B" w:rsidP="000F7B8B">
      <w:pPr>
        <w:pStyle w:val="slovanseznam"/>
        <w:numPr>
          <w:ilvl w:val="1"/>
          <w:numId w:val="8"/>
        </w:numPr>
        <w:tabs>
          <w:tab w:val="num" w:pos="720"/>
        </w:tabs>
        <w:spacing w:after="0" w:line="240" w:lineRule="auto"/>
        <w:rPr>
          <w:sz w:val="22"/>
          <w:szCs w:val="22"/>
          <w:highlight w:val="yellow"/>
        </w:rPr>
      </w:pPr>
      <w:r w:rsidRPr="008202EC">
        <w:rPr>
          <w:sz w:val="22"/>
          <w:szCs w:val="22"/>
          <w:highlight w:val="yellow"/>
        </w:rPr>
        <w:t xml:space="preserve">Příjemce dotace není oprávněn se svými partnery uzavírat v rámci tohoto projektu smluvní vztahy, jejichž předmětem je poskytování služeb, zboží nebo stavebních prací za úplatu. </w:t>
      </w:r>
    </w:p>
    <w:p w:rsidR="000F7B8B" w:rsidRPr="00747E4C" w:rsidRDefault="000F7B8B" w:rsidP="000F7B8B">
      <w:pPr>
        <w:tabs>
          <w:tab w:val="left" w:pos="4050"/>
          <w:tab w:val="center" w:pos="4535"/>
        </w:tabs>
        <w:spacing w:before="240"/>
        <w:jc w:val="left"/>
        <w:rPr>
          <w:rFonts w:cs="Arial"/>
          <w:b/>
        </w:rPr>
      </w:pPr>
      <w:r w:rsidRPr="00747E4C">
        <w:rPr>
          <w:rFonts w:cs="Arial"/>
          <w:b/>
        </w:rPr>
        <w:tab/>
      </w:r>
      <w:r w:rsidRPr="00747E4C">
        <w:rPr>
          <w:rFonts w:cs="Arial"/>
          <w:b/>
        </w:rPr>
        <w:tab/>
        <w:t>Část III</w:t>
      </w:r>
    </w:p>
    <w:p w:rsidR="000F7B8B" w:rsidRPr="00747E4C" w:rsidRDefault="000F7B8B" w:rsidP="000F7B8B">
      <w:pPr>
        <w:jc w:val="center"/>
        <w:rPr>
          <w:rFonts w:cs="Arial"/>
          <w:b/>
        </w:rPr>
      </w:pPr>
      <w:r w:rsidRPr="00747E4C">
        <w:rPr>
          <w:rFonts w:cs="Arial"/>
          <w:b/>
        </w:rPr>
        <w:t>Specifické povinnosti příjemce dotace týkající se realizace projektu</w:t>
      </w:r>
    </w:p>
    <w:p w:rsidR="000F7B8B" w:rsidRPr="00747E4C" w:rsidRDefault="000F7B8B" w:rsidP="000F7B8B">
      <w:pPr>
        <w:pStyle w:val="slovanseznam"/>
        <w:numPr>
          <w:ilvl w:val="0"/>
          <w:numId w:val="9"/>
        </w:numPr>
        <w:spacing w:before="240" w:line="240" w:lineRule="auto"/>
        <w:rPr>
          <w:b/>
          <w:bCs/>
          <w:sz w:val="22"/>
          <w:szCs w:val="22"/>
        </w:rPr>
      </w:pPr>
      <w:r w:rsidRPr="00747E4C">
        <w:rPr>
          <w:b/>
          <w:bCs/>
          <w:sz w:val="22"/>
          <w:szCs w:val="22"/>
        </w:rPr>
        <w:t>Vazba na výzvu k předkládání žádostí o podporu</w:t>
      </w:r>
    </w:p>
    <w:p w:rsidR="000F7B8B" w:rsidRPr="00747E4C" w:rsidRDefault="000F7B8B" w:rsidP="000F7B8B">
      <w:pPr>
        <w:pStyle w:val="slovanseznam"/>
        <w:tabs>
          <w:tab w:val="num" w:pos="720"/>
        </w:tabs>
        <w:spacing w:after="60"/>
        <w:rPr>
          <w:sz w:val="22"/>
          <w:szCs w:val="22"/>
        </w:rPr>
      </w:pPr>
      <w:r w:rsidRPr="00747E4C">
        <w:rPr>
          <w:sz w:val="22"/>
          <w:szCs w:val="22"/>
        </w:rPr>
        <w:t>Příjemce je povinen během realizace projektu respektovat tyto podmínky, jež vycházejí z výzvy k předkládání žádostí o podporu, na základě které byl projekt vybrán k poskytnutí dotace:</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Cílovými skupinami projektu mohou být pouze:</w:t>
      </w:r>
    </w:p>
    <w:p w:rsidR="000F7B8B" w:rsidRPr="00747E4C" w:rsidRDefault="000F7B8B" w:rsidP="000F7B8B">
      <w:pPr>
        <w:pStyle w:val="slovanseznam"/>
        <w:spacing w:after="60"/>
        <w:ind w:left="927"/>
        <w:rPr>
          <w:sz w:val="22"/>
          <w:szCs w:val="22"/>
        </w:rPr>
      </w:pPr>
      <w:r w:rsidRPr="008202EC">
        <w:rPr>
          <w:sz w:val="22"/>
          <w:szCs w:val="22"/>
          <w:highlight w:val="yellow"/>
        </w:rPr>
        <w:lastRenderedPageBreak/>
        <w:t>…</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Aktivity projektu musí spadat do vymezení:</w:t>
      </w:r>
    </w:p>
    <w:p w:rsidR="000F7B8B" w:rsidRPr="00747E4C" w:rsidRDefault="000F7B8B" w:rsidP="000F7B8B">
      <w:pPr>
        <w:pStyle w:val="slovanseznam"/>
        <w:spacing w:after="60"/>
        <w:ind w:left="927"/>
        <w:rPr>
          <w:sz w:val="22"/>
          <w:szCs w:val="22"/>
        </w:rPr>
      </w:pPr>
      <w:r w:rsidRPr="008202EC">
        <w:rPr>
          <w:sz w:val="22"/>
          <w:szCs w:val="22"/>
          <w:highlight w:val="yellow"/>
        </w:rPr>
        <w:t>…</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Územní vymezení:</w:t>
      </w:r>
    </w:p>
    <w:p w:rsidR="000F7B8B" w:rsidRPr="00747E4C" w:rsidRDefault="000F7B8B" w:rsidP="000F7B8B">
      <w:pPr>
        <w:pStyle w:val="slovanseznam"/>
        <w:spacing w:after="60"/>
        <w:ind w:left="927"/>
        <w:rPr>
          <w:sz w:val="22"/>
          <w:szCs w:val="22"/>
        </w:rPr>
      </w:pPr>
      <w:r w:rsidRPr="008202EC">
        <w:rPr>
          <w:sz w:val="22"/>
          <w:szCs w:val="22"/>
          <w:highlight w:val="yellow"/>
        </w:rPr>
        <w:t>…</w:t>
      </w:r>
    </w:p>
    <w:p w:rsidR="000F7B8B" w:rsidRPr="00747E4C" w:rsidRDefault="000F7B8B" w:rsidP="000F7B8B">
      <w:pPr>
        <w:pStyle w:val="slovanseznam"/>
        <w:numPr>
          <w:ilvl w:val="0"/>
          <w:numId w:val="9"/>
        </w:numPr>
        <w:spacing w:before="240" w:line="240" w:lineRule="auto"/>
        <w:ind w:left="357" w:hanging="357"/>
        <w:rPr>
          <w:b/>
          <w:bCs/>
          <w:sz w:val="22"/>
          <w:szCs w:val="22"/>
        </w:rPr>
      </w:pPr>
      <w:r w:rsidRPr="00747E4C">
        <w:rPr>
          <w:b/>
          <w:bCs/>
          <w:sz w:val="22"/>
          <w:szCs w:val="22"/>
        </w:rPr>
        <w:t xml:space="preserve">Podmínky monitorování projektu </w:t>
      </w:r>
    </w:p>
    <w:p w:rsidR="000F7B8B" w:rsidRPr="00747E4C" w:rsidRDefault="000F7B8B" w:rsidP="000F7B8B">
      <w:pPr>
        <w:pStyle w:val="slovanseznam"/>
        <w:numPr>
          <w:ilvl w:val="1"/>
          <w:numId w:val="9"/>
        </w:numPr>
        <w:tabs>
          <w:tab w:val="num" w:pos="-4253"/>
        </w:tabs>
        <w:spacing w:after="0" w:line="240" w:lineRule="auto"/>
        <w:ind w:left="567" w:hanging="567"/>
        <w:rPr>
          <w:sz w:val="22"/>
          <w:szCs w:val="22"/>
        </w:rPr>
      </w:pPr>
      <w:r w:rsidRPr="00747E4C">
        <w:rPr>
          <w:sz w:val="22"/>
          <w:szCs w:val="22"/>
        </w:rPr>
        <w:t>Příjemce dotace je povinen naplnit celkové cílové hodnoty monitorovacích ukazatelů uvedených v Žádosti o podporu v Příloze č. 1 tohoto Rozhodnutí; definice monitorovacích ukazatelů je obsažena v pravidlech NP AMIF.</w:t>
      </w:r>
    </w:p>
    <w:p w:rsidR="000F7B8B" w:rsidRPr="00747E4C" w:rsidRDefault="000F7B8B" w:rsidP="000F7B8B">
      <w:pPr>
        <w:pStyle w:val="slovanseznam"/>
        <w:spacing w:before="120"/>
        <w:ind w:left="567"/>
        <w:rPr>
          <w:sz w:val="22"/>
          <w:szCs w:val="22"/>
        </w:rPr>
      </w:pPr>
      <w:r w:rsidRPr="00747E4C">
        <w:rPr>
          <w:sz w:val="22"/>
          <w:szCs w:val="22"/>
        </w:rPr>
        <w:t>Celkovou cílovou hodnotu monitorovacích ukazatelů výstupů příjemce naplní, pokud celková míra naplnění ukazatelů výstupů, resp. výsledků dosáhne 100 %.</w:t>
      </w:r>
    </w:p>
    <w:p w:rsidR="000F7B8B" w:rsidRPr="00747E4C" w:rsidRDefault="000F7B8B" w:rsidP="000F7B8B">
      <w:pPr>
        <w:pStyle w:val="slovanseznam"/>
        <w:tabs>
          <w:tab w:val="num" w:pos="567"/>
        </w:tabs>
        <w:ind w:left="567"/>
        <w:rPr>
          <w:sz w:val="22"/>
          <w:szCs w:val="22"/>
        </w:rPr>
      </w:pPr>
      <w:r w:rsidRPr="00747E4C">
        <w:rPr>
          <w:sz w:val="22"/>
          <w:szCs w:val="22"/>
        </w:rPr>
        <w:t>Pro zjištění celkové míry naplnění povinných monitorovacích ukazatelů výstupů se sečtou procenta naplnění cílových hodnot uvedených v Žádosti o podporu v příloze č. 1 tohoto Rozhodnutí u jednotlivých monitorovacích ukazatelů výstupů a vydělí se počtem těchto monitorovacích ukazatelů. Pokud nebyla vyčerpána celková maximální výše dotace, snižují se cílové hodnoty v Žádosti o podporu v příloze č. 1 tohoto Rozhodnutí tak, že se vynásobí podílem skutečně vyčerpané částky dotace k celkové maximální výši dotace. Překročení cílové hodnoty jednotlivých ukazatelů výstupů bude zohledněno maximálně v míře 120 %.</w:t>
      </w:r>
    </w:p>
    <w:p w:rsidR="000F7B8B" w:rsidRPr="00747E4C" w:rsidRDefault="000F7B8B" w:rsidP="000F7B8B">
      <w:pPr>
        <w:pStyle w:val="slovanseznam"/>
        <w:numPr>
          <w:ilvl w:val="1"/>
          <w:numId w:val="9"/>
        </w:numPr>
        <w:tabs>
          <w:tab w:val="num" w:pos="720"/>
        </w:tabs>
        <w:spacing w:line="240" w:lineRule="auto"/>
        <w:ind w:left="567" w:hanging="567"/>
        <w:rPr>
          <w:sz w:val="22"/>
          <w:szCs w:val="22"/>
        </w:rPr>
      </w:pPr>
      <w:r w:rsidRPr="00747E4C">
        <w:rPr>
          <w:sz w:val="22"/>
          <w:szCs w:val="22"/>
        </w:rPr>
        <w:t>Příjemce dotace je povinen předávat poskytovateli dotace údaje nezbytné k průběžnému sledování přínosů projektu (monitorování projektu) a to prostřednictvím monitorovacích zpráv o realizaci projektu. Průběžnou monitorovací zprávu o realizaci projektu je příjemce povinen předložit do konce prvního měsíce následujícího po ukončení monitorovacího období, závěrečnou zprávu o realizaci projektu do konce druhého měsíce následujícího po ukončení monitorovacího období. (V případě, že monitorovací období nekončí poslední den kalendářního měsíce, pak platí lhůta 30 dní, resp. 60 dní v případě závěrečné zprávy o realizaci).</w:t>
      </w:r>
    </w:p>
    <w:p w:rsidR="000F7B8B" w:rsidRPr="00747E4C" w:rsidRDefault="000F7B8B" w:rsidP="000F7B8B">
      <w:pPr>
        <w:pStyle w:val="slovanseznam"/>
        <w:tabs>
          <w:tab w:val="num" w:pos="1478"/>
        </w:tabs>
        <w:ind w:left="567"/>
        <w:rPr>
          <w:sz w:val="22"/>
          <w:szCs w:val="22"/>
        </w:rPr>
      </w:pPr>
      <w:r w:rsidRPr="00747E4C">
        <w:rPr>
          <w:sz w:val="22"/>
          <w:szCs w:val="22"/>
        </w:rPr>
        <w:t>Vymezení monitorovacích období projektu, za které je příjemce povinen předložit monitorovací zprávu o realizaci projektu:</w:t>
      </w:r>
    </w:p>
    <w:p w:rsidR="000F7B8B" w:rsidRDefault="000F7B8B" w:rsidP="000F7B8B">
      <w:pPr>
        <w:pStyle w:val="slovanseznam"/>
        <w:ind w:left="567"/>
        <w:rPr>
          <w:sz w:val="22"/>
          <w:szCs w:val="22"/>
        </w:rPr>
      </w:pPr>
      <w:r w:rsidRPr="008202EC">
        <w:rPr>
          <w:sz w:val="22"/>
          <w:szCs w:val="22"/>
          <w:highlight w:val="yellow"/>
        </w:rPr>
        <w:t>…</w:t>
      </w:r>
    </w:p>
    <w:p w:rsidR="006E6917" w:rsidRPr="00747E4C" w:rsidRDefault="006E6917" w:rsidP="000F7B8B">
      <w:pPr>
        <w:pStyle w:val="slovanseznam"/>
        <w:ind w:left="567"/>
        <w:rPr>
          <w:sz w:val="22"/>
          <w:szCs w:val="22"/>
        </w:rPr>
      </w:pPr>
      <w:r w:rsidRPr="00615A5B">
        <w:rPr>
          <w:sz w:val="22"/>
        </w:rPr>
        <w:t xml:space="preserve">V případě, že </w:t>
      </w:r>
      <w:r>
        <w:rPr>
          <w:sz w:val="22"/>
        </w:rPr>
        <w:t xml:space="preserve">10 dní před termínem, který je stanoven pro předložení monitorovací zprávy, </w:t>
      </w:r>
      <w:r w:rsidRPr="00615A5B">
        <w:rPr>
          <w:sz w:val="22"/>
        </w:rPr>
        <w:t>není dokončena kontrola všech dříve předložených monitorovacích zpráv o</w:t>
      </w:r>
      <w:r>
        <w:rPr>
          <w:sz w:val="22"/>
        </w:rPr>
        <w:t> </w:t>
      </w:r>
      <w:r w:rsidRPr="00615A5B">
        <w:rPr>
          <w:sz w:val="22"/>
        </w:rPr>
        <w:t>realizaci projektu včetně žádosti o platbu, nelze následující monitorovací zprávu a žádost o</w:t>
      </w:r>
      <w:r>
        <w:rPr>
          <w:sz w:val="22"/>
        </w:rPr>
        <w:t> </w:t>
      </w:r>
      <w:r w:rsidRPr="00615A5B">
        <w:rPr>
          <w:sz w:val="22"/>
        </w:rPr>
        <w:t>platbu předložit v</w:t>
      </w:r>
      <w:r>
        <w:rPr>
          <w:sz w:val="22"/>
        </w:rPr>
        <w:t> </w:t>
      </w:r>
      <w:r w:rsidRPr="00615A5B">
        <w:rPr>
          <w:sz w:val="22"/>
        </w:rPr>
        <w:t xml:space="preserve">termínu stanoveném </w:t>
      </w:r>
      <w:r w:rsidR="0013382A">
        <w:rPr>
          <w:sz w:val="22"/>
        </w:rPr>
        <w:t>tímto Rozhodnutím</w:t>
      </w:r>
      <w:r w:rsidRPr="00615A5B">
        <w:rPr>
          <w:sz w:val="22"/>
        </w:rPr>
        <w:t>. Pokud tato překážka v realizaci projektu nastane, termín předložení následující monitorovací zprávy o realizaci projektu včetně žádosti o platbu je stanoven do 10 pracovních dní od</w:t>
      </w:r>
      <w:r>
        <w:rPr>
          <w:sz w:val="22"/>
        </w:rPr>
        <w:t xml:space="preserve"> </w:t>
      </w:r>
      <w:r w:rsidRPr="00615A5B">
        <w:rPr>
          <w:sz w:val="22"/>
        </w:rPr>
        <w:t>doručení oznámení o schválení nebo neschválení dříve předložené monitorovací zprávy o realizaci projektu včetně žádosti o platbu.</w:t>
      </w:r>
    </w:p>
    <w:p w:rsidR="000F7B8B" w:rsidRPr="00747E4C" w:rsidRDefault="000F7B8B" w:rsidP="000F7B8B">
      <w:pPr>
        <w:pStyle w:val="slovanseznam"/>
        <w:numPr>
          <w:ilvl w:val="1"/>
          <w:numId w:val="9"/>
        </w:numPr>
        <w:tabs>
          <w:tab w:val="num" w:pos="720"/>
        </w:tabs>
        <w:spacing w:line="240" w:lineRule="auto"/>
        <w:ind w:left="567" w:hanging="567"/>
        <w:rPr>
          <w:sz w:val="22"/>
          <w:szCs w:val="22"/>
        </w:rPr>
      </w:pPr>
      <w:r w:rsidRPr="00747E4C">
        <w:rPr>
          <w:sz w:val="22"/>
          <w:szCs w:val="22"/>
        </w:rPr>
        <w:t>Příjemce dotace je povinen předkládat monitorovací zprávy o realizaci projektu ve formátu, který poskytovatel pro projekt nastaví a zveřejní na webovém portálu OO.</w:t>
      </w:r>
    </w:p>
    <w:p w:rsidR="000F7B8B" w:rsidRPr="00747E4C" w:rsidRDefault="000F7B8B" w:rsidP="000F7B8B">
      <w:pPr>
        <w:pStyle w:val="slovanseznam"/>
        <w:numPr>
          <w:ilvl w:val="1"/>
          <w:numId w:val="9"/>
        </w:numPr>
        <w:tabs>
          <w:tab w:val="num" w:pos="567"/>
          <w:tab w:val="num" w:pos="720"/>
        </w:tabs>
        <w:spacing w:line="240" w:lineRule="auto"/>
        <w:ind w:left="567" w:hanging="567"/>
        <w:rPr>
          <w:sz w:val="22"/>
          <w:szCs w:val="22"/>
        </w:rPr>
      </w:pPr>
      <w:r w:rsidRPr="00747E4C">
        <w:rPr>
          <w:sz w:val="22"/>
          <w:szCs w:val="22"/>
        </w:rPr>
        <w:t>Nápravy nedostatků žádostí o změnu projektu, monitorovacích zpráv o realizaci projektu (včetně spolu s nimi předložených žádostí o platbu) a případně další dokumentace vyžádané poskytovatelem je příjemce povinen předkládat v termínech stanovených poskytovatelem.</w:t>
      </w:r>
    </w:p>
    <w:p w:rsidR="000F7B8B" w:rsidRPr="00747E4C" w:rsidRDefault="000F7B8B" w:rsidP="000F7B8B">
      <w:pPr>
        <w:pStyle w:val="slovanseznam"/>
        <w:numPr>
          <w:ilvl w:val="0"/>
          <w:numId w:val="9"/>
        </w:numPr>
        <w:spacing w:before="240" w:line="240" w:lineRule="auto"/>
        <w:rPr>
          <w:b/>
          <w:bCs/>
          <w:sz w:val="22"/>
          <w:szCs w:val="22"/>
        </w:rPr>
      </w:pPr>
      <w:r w:rsidRPr="00747E4C">
        <w:rPr>
          <w:b/>
          <w:bCs/>
          <w:sz w:val="22"/>
          <w:szCs w:val="22"/>
        </w:rPr>
        <w:t xml:space="preserve">Veřejná podpora a podpora de </w:t>
      </w:r>
      <w:proofErr w:type="spellStart"/>
      <w:r w:rsidRPr="00747E4C">
        <w:rPr>
          <w:b/>
          <w:bCs/>
          <w:sz w:val="22"/>
          <w:szCs w:val="22"/>
        </w:rPr>
        <w:t>minimis</w:t>
      </w:r>
      <w:proofErr w:type="spellEnd"/>
    </w:p>
    <w:p w:rsidR="000F7B8B" w:rsidRPr="00747E4C" w:rsidRDefault="000F7B8B" w:rsidP="000F7B8B">
      <w:pPr>
        <w:pStyle w:val="slovanseznam"/>
        <w:spacing w:after="60"/>
        <w:rPr>
          <w:sz w:val="22"/>
          <w:szCs w:val="22"/>
        </w:rPr>
      </w:pPr>
      <w:r w:rsidRPr="00747E4C">
        <w:rPr>
          <w:sz w:val="22"/>
          <w:szCs w:val="22"/>
        </w:rPr>
        <w:lastRenderedPageBreak/>
        <w:t xml:space="preserve">Dotace poskytnutá na realizaci projektu nezakládá veřejnou podporu. </w:t>
      </w:r>
    </w:p>
    <w:p w:rsidR="000F7B8B" w:rsidRPr="00747E4C" w:rsidRDefault="000F7B8B" w:rsidP="000F7B8B">
      <w:pPr>
        <w:spacing w:before="360"/>
        <w:jc w:val="center"/>
        <w:rPr>
          <w:rFonts w:cs="Arial"/>
          <w:b/>
        </w:rPr>
      </w:pPr>
      <w:r w:rsidRPr="00747E4C">
        <w:rPr>
          <w:rFonts w:cs="Arial"/>
          <w:b/>
        </w:rPr>
        <w:t>Část IV</w:t>
      </w:r>
    </w:p>
    <w:p w:rsidR="000F7B8B" w:rsidRPr="00747E4C" w:rsidRDefault="000F7B8B" w:rsidP="000F7B8B">
      <w:pPr>
        <w:jc w:val="center"/>
        <w:rPr>
          <w:rFonts w:cs="Arial"/>
          <w:b/>
        </w:rPr>
      </w:pPr>
      <w:r w:rsidRPr="00747E4C">
        <w:rPr>
          <w:rFonts w:cs="Arial"/>
          <w:b/>
        </w:rPr>
        <w:t xml:space="preserve">Platební podmínky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Žádost o platbu </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 xml:space="preserve">Příjemce dotace je povinen pro účely poskytnutí prostředků dotace předkládat poskytovateli spolu s každou monitorovací zprávou o realizaci projektu řádně vyplněnou žádost o platbu podloženou příslušnými doklady dle pravidel NP AMIF. </w:t>
      </w:r>
    </w:p>
    <w:p w:rsidR="000F7B8B" w:rsidRPr="00747E4C" w:rsidRDefault="000F7B8B" w:rsidP="000F7B8B">
      <w:pPr>
        <w:pStyle w:val="slovanseznam"/>
        <w:numPr>
          <w:ilvl w:val="1"/>
          <w:numId w:val="10"/>
        </w:numPr>
        <w:tabs>
          <w:tab w:val="num" w:pos="720"/>
        </w:tabs>
        <w:spacing w:after="240" w:line="240" w:lineRule="auto"/>
        <w:ind w:left="567" w:hanging="567"/>
        <w:rPr>
          <w:sz w:val="22"/>
          <w:szCs w:val="22"/>
        </w:rPr>
      </w:pPr>
      <w:r w:rsidRPr="00747E4C">
        <w:rPr>
          <w:sz w:val="22"/>
          <w:szCs w:val="22"/>
        </w:rPr>
        <w:t xml:space="preserve">Příjemce dotace je povinen předkládat žádosti o platbu ve formátu, který poskytovatel pro projekt nastaví a zveřejní na portálu OO.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Převod prostředků dotace </w:t>
      </w:r>
    </w:p>
    <w:p w:rsidR="000F7B8B" w:rsidRPr="00747E4C" w:rsidRDefault="000F7B8B" w:rsidP="000F7B8B">
      <w:pPr>
        <w:pStyle w:val="slovanseznam"/>
        <w:spacing w:after="60"/>
        <w:rPr>
          <w:sz w:val="22"/>
          <w:szCs w:val="22"/>
        </w:rPr>
      </w:pPr>
      <w:r w:rsidRPr="00747E4C">
        <w:rPr>
          <w:sz w:val="22"/>
          <w:szCs w:val="22"/>
        </w:rPr>
        <w:t>Poskytovatel bude dotaci specifikovanou v článku I této smlouvy příjemci poskytovat ve splátkách v závislosti na postupu realizace projektu. Dotace bude poskytována bezhotovostními bankovními převody na bankovní účet uvedený v části specifikace příjemce dotace. Dnem poskytnutí se rozumí den odepsání částky z účtu poskytovatele.</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Proplácení částí dotace</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 xml:space="preserve">První část dotace bude příjemci dotace proplacena ve výši </w:t>
      </w:r>
      <w:r w:rsidRPr="008202EC">
        <w:rPr>
          <w:sz w:val="22"/>
          <w:szCs w:val="22"/>
          <w:highlight w:val="yellow"/>
        </w:rPr>
        <w:t>[…]</w:t>
      </w:r>
      <w:r w:rsidRPr="00747E4C">
        <w:rPr>
          <w:sz w:val="22"/>
          <w:szCs w:val="22"/>
        </w:rPr>
        <w:t xml:space="preserve">,- Kč, z toho prostředky ve výši </w:t>
      </w:r>
      <w:r w:rsidRPr="008202EC">
        <w:rPr>
          <w:sz w:val="22"/>
          <w:szCs w:val="22"/>
          <w:highlight w:val="yellow"/>
        </w:rPr>
        <w:t>[…]</w:t>
      </w:r>
      <w:r w:rsidRPr="00747E4C">
        <w:rPr>
          <w:sz w:val="22"/>
          <w:szCs w:val="22"/>
        </w:rPr>
        <w:t xml:space="preserve">,- Kč jsou poskytovány na neinvestiční výdaje projektu a prostředky ve výši </w:t>
      </w:r>
      <w:r w:rsidRPr="008202EC">
        <w:rPr>
          <w:sz w:val="22"/>
          <w:szCs w:val="22"/>
          <w:highlight w:val="yellow"/>
        </w:rPr>
        <w:t>0,-</w:t>
      </w:r>
      <w:r w:rsidRPr="00747E4C">
        <w:rPr>
          <w:sz w:val="22"/>
          <w:szCs w:val="22"/>
        </w:rPr>
        <w:t xml:space="preserve"> Kč na investiční výdaje projektu dle zákona č. 563/1991 Sb., o účetnictví.</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 xml:space="preserve">Další části dotace budou propláceny až do maximální výše dotace snížené o část dotace neproplacenou podle § 14e rozpočtových pravidel, vrácenou podle § 14f odst. 3 rozpočtových pravidel a o provedený odvod za porušení rozpočtové kázně podle § 44a rozpočtových pravidel, a to na základě schválených žádostí o platbu. Výše splátky se rovná částce schválených způsobilých výdajů projektu v rámci dané žádosti o platbu, s výjimkou situace, kdy by poskytnutím platby ve výši schválených výdajů došlo k překročení maximální částky dotace dle části I bodu 2.1 tohoto Rozhodnutí; v tomto případě je částka splátky snížena tak, aby prostředky poskytnuté na projekty dosahovaly souhrnně nejvýše maximální částku dotace. Další části dotace jsou určeny pouze na neinvestiční výdaje projektu.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Nepřímé náklady</w:t>
      </w:r>
    </w:p>
    <w:p w:rsidR="000F7B8B" w:rsidRPr="00747E4C" w:rsidRDefault="000F7B8B" w:rsidP="000F7B8B">
      <w:pPr>
        <w:pStyle w:val="slovanseznam"/>
        <w:tabs>
          <w:tab w:val="num" w:pos="720"/>
        </w:tabs>
        <w:rPr>
          <w:sz w:val="22"/>
          <w:szCs w:val="22"/>
        </w:rPr>
      </w:pPr>
      <w:r w:rsidRPr="00747E4C">
        <w:rPr>
          <w:sz w:val="22"/>
          <w:szCs w:val="22"/>
        </w:rPr>
        <w:t>Nepřímé náklady projektu jsou považovány za uskutečněné ve výši, která je výsledkem násobku procenta nepřímých nákladů platného pro projekt a částky odpovídající prokázaným způsobilým přímým nákladům projektu bez investičních výdajů.</w:t>
      </w:r>
    </w:p>
    <w:p w:rsidR="000F7B8B" w:rsidRPr="00747E4C" w:rsidRDefault="000F7B8B" w:rsidP="000F7B8B">
      <w:pPr>
        <w:pStyle w:val="slovanseznam"/>
        <w:rPr>
          <w:sz w:val="22"/>
          <w:szCs w:val="22"/>
        </w:rPr>
      </w:pPr>
      <w:r w:rsidRPr="00747E4C">
        <w:rPr>
          <w:sz w:val="22"/>
          <w:szCs w:val="22"/>
        </w:rPr>
        <w:t xml:space="preserve">Procento nepřímých nákladů platné pro projekt: </w:t>
      </w:r>
      <w:r w:rsidRPr="008202EC">
        <w:rPr>
          <w:sz w:val="22"/>
          <w:szCs w:val="22"/>
          <w:highlight w:val="yellow"/>
        </w:rPr>
        <w:t>[</w:t>
      </w:r>
      <w:r w:rsidRPr="008202EC">
        <w:rPr>
          <w:sz w:val="22"/>
          <w:szCs w:val="22"/>
          <w:highlight w:val="yellow"/>
          <w:shd w:val="clear" w:color="auto" w:fill="D9D9D9" w:themeFill="background1" w:themeFillShade="D9"/>
        </w:rPr>
        <w:t>…</w:t>
      </w:r>
      <w:r w:rsidRPr="008202EC">
        <w:rPr>
          <w:sz w:val="22"/>
          <w:szCs w:val="22"/>
          <w:highlight w:val="yellow"/>
        </w:rPr>
        <w:t>]</w:t>
      </w:r>
      <w:r w:rsidRPr="00747E4C">
        <w:rPr>
          <w:sz w:val="22"/>
          <w:szCs w:val="22"/>
        </w:rPr>
        <w:t xml:space="preserve"> %</w:t>
      </w:r>
    </w:p>
    <w:p w:rsidR="000F7B8B" w:rsidRPr="00747E4C" w:rsidRDefault="000F7B8B" w:rsidP="000F7B8B">
      <w:pPr>
        <w:pStyle w:val="slovanseznam"/>
        <w:rPr>
          <w:sz w:val="22"/>
          <w:szCs w:val="22"/>
        </w:rPr>
      </w:pPr>
      <w:r w:rsidRPr="00747E4C">
        <w:rPr>
          <w:sz w:val="22"/>
          <w:szCs w:val="22"/>
        </w:rPr>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Přeplatek dotace </w:t>
      </w:r>
    </w:p>
    <w:p w:rsidR="000F7B8B" w:rsidRPr="00747E4C" w:rsidRDefault="000F7B8B" w:rsidP="000F7B8B">
      <w:pPr>
        <w:pStyle w:val="slovanseznam"/>
        <w:tabs>
          <w:tab w:val="num" w:pos="720"/>
        </w:tabs>
        <w:spacing w:after="60"/>
        <w:rPr>
          <w:sz w:val="22"/>
          <w:szCs w:val="22"/>
        </w:rPr>
      </w:pPr>
      <w:r w:rsidRPr="00747E4C">
        <w:rPr>
          <w:sz w:val="22"/>
          <w:szCs w:val="22"/>
        </w:rPr>
        <w:t xml:space="preserve">V případě, že celková dotace poukázaná ve prospěch účtu uvedeného v úvodu tohoto Rozhodnutí převyšuje částku, která by dle závěrečného vyúčtování výdajů projektu měla být z dotace poskytnuta, </w:t>
      </w:r>
      <w:r w:rsidRPr="00747E4C">
        <w:rPr>
          <w:sz w:val="22"/>
          <w:szCs w:val="22"/>
        </w:rPr>
        <w:lastRenderedPageBreak/>
        <w:t>musí být rozdíl vrácen poskytovateli. Příjemce se zavazuje navrátit tyto prostředky v termínu a způsobem stanovenými ve výzvě zpracované poskytovatelem.</w:t>
      </w:r>
    </w:p>
    <w:p w:rsidR="000F7B8B" w:rsidRPr="00747E4C" w:rsidRDefault="000F7B8B" w:rsidP="000F7B8B">
      <w:pPr>
        <w:spacing w:before="360"/>
        <w:jc w:val="center"/>
        <w:rPr>
          <w:rFonts w:cs="Arial"/>
          <w:b/>
        </w:rPr>
      </w:pPr>
      <w:r w:rsidRPr="00747E4C">
        <w:rPr>
          <w:rFonts w:cs="Arial"/>
          <w:b/>
        </w:rPr>
        <w:t xml:space="preserve">Část V </w:t>
      </w:r>
    </w:p>
    <w:p w:rsidR="000F7B8B" w:rsidRPr="00747E4C" w:rsidRDefault="000F7B8B" w:rsidP="000F7B8B">
      <w:pPr>
        <w:jc w:val="center"/>
        <w:rPr>
          <w:rFonts w:cs="Arial"/>
          <w:b/>
        </w:rPr>
      </w:pPr>
      <w:r w:rsidRPr="00747E4C">
        <w:rPr>
          <w:rFonts w:cs="Arial"/>
          <w:b/>
        </w:rPr>
        <w:t xml:space="preserve">Sankce </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Pozastavení proplácení prostředků dotace</w:t>
      </w:r>
    </w:p>
    <w:p w:rsidR="000F7B8B" w:rsidRPr="00747E4C" w:rsidRDefault="000F7B8B" w:rsidP="000F7B8B">
      <w:pPr>
        <w:pStyle w:val="slovanseznam"/>
        <w:spacing w:after="240"/>
        <w:rPr>
          <w:sz w:val="22"/>
          <w:szCs w:val="22"/>
        </w:rPr>
      </w:pPr>
      <w:r w:rsidRPr="00747E4C">
        <w:rPr>
          <w:sz w:val="22"/>
          <w:szCs w:val="22"/>
        </w:rPr>
        <w:t>Pokud poskytovatel nebo jiná osoba oprávněná ke kontrole dodržování podmínek dle tohoto Rozhodnutí zjistí, že příjemce dotace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 xml:space="preserve">Neproplácení dotace na základě § 14e zákona č. 218/2000Sb., o rozpočtových pravidlech a o změně některých souvisejících zákonů (rozpočtová pravidla) </w:t>
      </w:r>
    </w:p>
    <w:p w:rsidR="000F7B8B" w:rsidRPr="00747E4C" w:rsidRDefault="000F7B8B" w:rsidP="000F7B8B">
      <w:pPr>
        <w:pStyle w:val="slovanseznam"/>
        <w:spacing w:after="240"/>
        <w:rPr>
          <w:sz w:val="22"/>
          <w:szCs w:val="22"/>
        </w:rPr>
      </w:pPr>
      <w:r w:rsidRPr="00747E4C">
        <w:rPr>
          <w:sz w:val="22"/>
          <w:szCs w:val="22"/>
        </w:rPr>
        <w:t>Poskytovatel nemusí vyplatit část dotace, domnívá-li se, že došlo k porušení pravidel stanovených tímto Rozhodnutím. Pokud poskytovatel odhalí porušení podmínek, je oprávněn provést krácení dle § 14e rozpočtových pravidel, a to maximálně do výše, která je stanovena v rozhodnutí o poskytnutí dotace, resp. ve výši stanovené za porušení dané povinnosti v tabulce sankcí pro oblast zadávání obsažené v Příručce pro žadatele a příjemce jako nejvyšší možná výše odvodu za předmětné porušení podmínek. Při stanovení výše sankce přihlédne k závažnosti porušení a jeho vlivu na dodržení cíle dotace.</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Diferenciace odvodu za porušení rozpočtové kázně dle závažnosti porušení podmínek</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porušení podmínek týkajících se účelu a udržitelnosti (uvedených v části II bodě 2 a 4) bude vyměřen odvod za porušení rozpočtové kázně ve výši celkové dosud vyplacené částky dotace podle § 44a odst. 4 písm. b) rozpočtových pravidel.</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 xml:space="preserve">V případě porušení podmínek, u kterých lze vyčíslit výši porušení rozpočtové kázně (tj. porušení má jednoznačnou vazbu na způsobilé výdaje), bude vyměřen odvod podle § 44a odst. 4 písm. b) rozpočtových pravidel ve výši nezpůsobilých výdajů uhrazených z dotace. </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 xml:space="preserve">V případě, že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předložit poskytovateli monitorovací zprávu o realizaci projektu (včetně žádosti o platbu) nebo povinnosti předložit poskytovateli vyžádanou informaci ad hoc (uvedených v části II bodě 5.</w:t>
      </w:r>
      <w:r w:rsidR="00484B95">
        <w:rPr>
          <w:sz w:val="22"/>
          <w:szCs w:val="22"/>
        </w:rPr>
        <w:t>3</w:t>
      </w:r>
      <w:r w:rsidRPr="00747E4C">
        <w:rPr>
          <w:sz w:val="22"/>
          <w:szCs w:val="22"/>
        </w:rPr>
        <w:t xml:space="preserve"> a bodě 9, v části III v bodech 2.2 až 2.4) a prodlení bude trvat 7 kalendářních dní a více, přičemž za určující se bere termín vyplývající z tohoto Rozhodnutí (včetně pravidel NP AMIF, na které se toto Rozhodnutí odkazuje) ve znění případného vyjádření poskytovatele o změně termínu uděleného ředitelem Odpovědného orgánu;</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povinností týkajících se oznamovací povinnosti (uvedených v části II bodě 10) a v pravidlech NP AMIF není stanoveno, že příslušné pochybení nezakládá porušení rozpočtové kázně;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vypořádání projektu v souladu s rozpočtovými pravidly a vyhláškou č. 367/2015 Sb., o zásadách a lhůtách finančního vypořádání vztahů se státním rozpočtem, státními finančními aktivy a Národním fondem, vyhláška o finančním vypořádání (uvedených v části II bodě 12);</w:t>
      </w:r>
    </w:p>
    <w:p w:rsidR="000F7B8B" w:rsidRPr="00747E4C" w:rsidRDefault="000F7B8B" w:rsidP="000F7B8B">
      <w:pPr>
        <w:pStyle w:val="slovanseznam"/>
        <w:numPr>
          <w:ilvl w:val="0"/>
          <w:numId w:val="13"/>
        </w:numPr>
        <w:spacing w:line="240" w:lineRule="auto"/>
        <w:rPr>
          <w:sz w:val="22"/>
          <w:szCs w:val="22"/>
        </w:rPr>
      </w:pPr>
      <w:r w:rsidRPr="00747E4C">
        <w:rPr>
          <w:sz w:val="22"/>
          <w:szCs w:val="22"/>
        </w:rPr>
        <w:lastRenderedPageBreak/>
        <w:t>dojde k porušení povinností týkající se vytvoření podmínek pro provedení kontroly (uvedených v části II bodě 7);</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týkající se práv duševního vlastnictví (uvedených v části II bodě 15);</w:t>
      </w:r>
    </w:p>
    <w:p w:rsidR="000F7B8B" w:rsidRPr="00747E4C" w:rsidRDefault="000F7B8B" w:rsidP="000F7B8B">
      <w:pPr>
        <w:pStyle w:val="slovanseznam"/>
        <w:numPr>
          <w:ilvl w:val="0"/>
          <w:numId w:val="13"/>
        </w:numPr>
        <w:spacing w:line="240" w:lineRule="auto"/>
        <w:rPr>
          <w:sz w:val="22"/>
          <w:szCs w:val="22"/>
        </w:rPr>
      </w:pPr>
      <w:r w:rsidRPr="008202EC">
        <w:rPr>
          <w:sz w:val="22"/>
          <w:szCs w:val="22"/>
          <w:highlight w:val="yellow"/>
        </w:rPr>
        <w:t>dojde k porušení povinností týkajících se partnerství (uvedených v části II bodech 16.1 a 16.3)</w:t>
      </w:r>
      <w:r w:rsidRPr="00747E4C">
        <w:rPr>
          <w:rStyle w:val="Znakapoznpodarou"/>
          <w:sz w:val="22"/>
          <w:szCs w:val="22"/>
        </w:rPr>
        <w:footnoteReference w:id="7"/>
      </w:r>
      <w:r w:rsidRPr="00747E4C">
        <w:rPr>
          <w:sz w:val="22"/>
          <w:szCs w:val="22"/>
        </w:rPr>
        <w:t>;</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povinnosti uchovávat dokumenty (uvedených v části II bodě 13) a není možné stanovit výši dotace, ke které se dokument váže; </w:t>
      </w:r>
    </w:p>
    <w:p w:rsidR="000F7B8B" w:rsidRPr="00747E4C" w:rsidRDefault="000F7B8B" w:rsidP="000F7B8B">
      <w:pPr>
        <w:pStyle w:val="slovanseznam"/>
        <w:tabs>
          <w:tab w:val="num" w:pos="-3119"/>
        </w:tabs>
        <w:ind w:left="567"/>
        <w:rPr>
          <w:sz w:val="22"/>
          <w:szCs w:val="22"/>
        </w:rPr>
      </w:pPr>
      <w:r w:rsidRPr="00747E4C">
        <w:rPr>
          <w:sz w:val="22"/>
          <w:szCs w:val="22"/>
        </w:rPr>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že dojde k porušení povinností týkajících se zadávání zakázek (uvedených v části II bodě 6.1), jež je dle pravidel NP AMIF považováno za porušení rozpočtové kázně, bude odvod za porušení rozpočtové kázně vyměřen dle § 44a odst. 4 písm. a) rozpočtových pravidel ve výši stanovené za porušení dané povinnosti v příslušné tabulce sankcí pro oblast zadávání obsažené v pravidlech NP AMIF.</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že dojde k porušení povinností týkajících se provádění informačních a komunikačních opatření (uvedených v části II bodě 8), jež je dle pravidel NP AMIF považováno za porušení rozpočtové kázně, bude odvod za porušení rozpočtové kázně vyměřen dle § 44a odst. 4 písm. a) rozpočtových pravidel ve výši stanovené za porušení dané povinnosti v příslušné tabulce sankcí pro oblast publicity obsažené v pravidlech NP AMIF.</w:t>
      </w:r>
    </w:p>
    <w:p w:rsidR="000F7B8B" w:rsidRPr="00747E4C" w:rsidRDefault="000F7B8B" w:rsidP="000F7B8B">
      <w:pPr>
        <w:pStyle w:val="slovanseznam"/>
        <w:numPr>
          <w:ilvl w:val="1"/>
          <w:numId w:val="11"/>
        </w:numPr>
        <w:tabs>
          <w:tab w:val="num" w:pos="720"/>
        </w:tabs>
        <w:spacing w:after="240" w:line="240" w:lineRule="auto"/>
        <w:ind w:left="567" w:hanging="567"/>
        <w:rPr>
          <w:sz w:val="22"/>
          <w:szCs w:val="22"/>
        </w:rPr>
      </w:pPr>
      <w:r w:rsidRPr="00747E4C">
        <w:rPr>
          <w:sz w:val="22"/>
          <w:szCs w:val="22"/>
        </w:rPr>
        <w:t>V případě, že do data ukončení realizace projektu nebude dosažena celková cílová hodnota monitorovacích ukazatelů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3892"/>
      </w:tblGrid>
      <w:tr w:rsidR="000F7B8B" w:rsidRPr="005C4078" w:rsidTr="001536B6">
        <w:tc>
          <w:tcPr>
            <w:tcW w:w="4531" w:type="dxa"/>
          </w:tcPr>
          <w:p w:rsidR="000F7B8B" w:rsidRPr="005C4078" w:rsidRDefault="000F7B8B" w:rsidP="001536B6">
            <w:pPr>
              <w:spacing w:after="60"/>
              <w:rPr>
                <w:rFonts w:cs="Arial"/>
              </w:rPr>
            </w:pPr>
            <w:r w:rsidRPr="005C4078">
              <w:rPr>
                <w:rFonts w:cs="Arial"/>
              </w:rPr>
              <w:t>Celková míra naplnění monitorovacích ukazatelů výstupů uvedených v Žádosti o podporu v Příloze č. 1 tohoto Rozhodnutí</w:t>
            </w:r>
          </w:p>
        </w:tc>
        <w:tc>
          <w:tcPr>
            <w:tcW w:w="3892" w:type="dxa"/>
          </w:tcPr>
          <w:p w:rsidR="000F7B8B" w:rsidRPr="005C4078" w:rsidRDefault="000F7B8B" w:rsidP="001536B6">
            <w:pPr>
              <w:spacing w:after="60"/>
              <w:jc w:val="center"/>
              <w:rPr>
                <w:rFonts w:cs="Arial"/>
              </w:rPr>
            </w:pPr>
            <w:r w:rsidRPr="005C4078">
              <w:rPr>
                <w:rFonts w:cs="Arial"/>
              </w:rPr>
              <w:t>Procento odvodu z částky, ve které byla porušena rozpočtová kázeň</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85 % až 70 %</w:t>
            </w:r>
          </w:p>
        </w:tc>
        <w:tc>
          <w:tcPr>
            <w:tcW w:w="3892" w:type="dxa"/>
          </w:tcPr>
          <w:p w:rsidR="000F7B8B" w:rsidRPr="005C4078" w:rsidRDefault="000F7B8B" w:rsidP="001536B6">
            <w:pPr>
              <w:pStyle w:val="xl90"/>
              <w:pBdr>
                <w:left w:val="none" w:sz="0" w:space="0" w:color="auto"/>
                <w:bottom w:val="none" w:sz="0" w:space="0" w:color="auto"/>
                <w:right w:val="none" w:sz="0" w:space="0" w:color="auto"/>
              </w:pBdr>
              <w:spacing w:before="0" w:beforeAutospacing="0" w:after="60" w:afterAutospacing="0"/>
              <w:rPr>
                <w:b w:val="0"/>
              </w:rPr>
            </w:pPr>
            <w:r w:rsidRPr="005C4078">
              <w:rPr>
                <w:b w:val="0"/>
              </w:rPr>
              <w:t>15 %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70 % až 55 %</w:t>
            </w:r>
          </w:p>
        </w:tc>
        <w:tc>
          <w:tcPr>
            <w:tcW w:w="3892" w:type="dxa"/>
          </w:tcPr>
          <w:p w:rsidR="000F7B8B" w:rsidRPr="005C4078" w:rsidRDefault="000F7B8B" w:rsidP="001536B6">
            <w:pPr>
              <w:spacing w:after="60"/>
              <w:jc w:val="center"/>
              <w:rPr>
                <w:rFonts w:cs="Arial"/>
                <w:bCs/>
              </w:rPr>
            </w:pPr>
            <w:r w:rsidRPr="005C4078">
              <w:rPr>
                <w:rFonts w:cs="Arial"/>
              </w:rPr>
              <w:t>20 %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55 % až 40 %</w:t>
            </w:r>
          </w:p>
        </w:tc>
        <w:tc>
          <w:tcPr>
            <w:tcW w:w="3892" w:type="dxa"/>
          </w:tcPr>
          <w:p w:rsidR="000F7B8B" w:rsidRPr="005C4078" w:rsidRDefault="000F7B8B" w:rsidP="001536B6">
            <w:pPr>
              <w:spacing w:after="60"/>
              <w:jc w:val="center"/>
              <w:rPr>
                <w:rFonts w:cs="Arial"/>
                <w:bCs/>
              </w:rPr>
            </w:pPr>
            <w:r w:rsidRPr="005C4078">
              <w:rPr>
                <w:rFonts w:cs="Arial"/>
              </w:rPr>
              <w:t>30 %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40 %</w:t>
            </w:r>
          </w:p>
        </w:tc>
        <w:tc>
          <w:tcPr>
            <w:tcW w:w="3892" w:type="dxa"/>
          </w:tcPr>
          <w:p w:rsidR="000F7B8B" w:rsidRPr="005C4078" w:rsidRDefault="000F7B8B" w:rsidP="001536B6">
            <w:pPr>
              <w:spacing w:after="60"/>
              <w:jc w:val="center"/>
              <w:rPr>
                <w:rFonts w:cs="Arial"/>
                <w:bCs/>
              </w:rPr>
            </w:pPr>
            <w:r w:rsidRPr="005C4078">
              <w:rPr>
                <w:rFonts w:cs="Arial"/>
              </w:rPr>
              <w:t>50 %</w:t>
            </w:r>
          </w:p>
        </w:tc>
      </w:tr>
    </w:tbl>
    <w:p w:rsidR="000F7B8B" w:rsidRPr="00747E4C" w:rsidRDefault="000F7B8B" w:rsidP="000F7B8B">
      <w:pPr>
        <w:pStyle w:val="slovanseznam"/>
        <w:tabs>
          <w:tab w:val="num" w:pos="1478"/>
        </w:tabs>
        <w:spacing w:before="120"/>
        <w:ind w:left="567"/>
        <w:rPr>
          <w:sz w:val="22"/>
          <w:szCs w:val="22"/>
        </w:rPr>
      </w:pPr>
      <w:r w:rsidRPr="00747E4C">
        <w:rPr>
          <w:sz w:val="22"/>
          <w:szCs w:val="22"/>
        </w:rPr>
        <w:t xml:space="preserve">V případě, že aktuálně platná pravidla NP AMIF stanoví míru naplnění monitorovacích ukazatelů výsledků mírněji než toto Rozhodnutí, uplatní se míra naplnění dle aktuálně platných pravidel, včetně příp. sankcí za nesplnění. </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Porušení povinností, jež není porušením rozpočtové kázně</w:t>
      </w:r>
      <w:r w:rsidRPr="00747E4C">
        <w:rPr>
          <w:b/>
          <w:sz w:val="22"/>
          <w:szCs w:val="22"/>
          <w:vertAlign w:val="superscript"/>
        </w:rPr>
        <w:footnoteReference w:id="8"/>
      </w:r>
    </w:p>
    <w:p w:rsidR="000F7B8B" w:rsidRPr="00747E4C" w:rsidRDefault="000F7B8B" w:rsidP="000F7B8B">
      <w:pPr>
        <w:pStyle w:val="slovanseznam"/>
        <w:numPr>
          <w:ilvl w:val="1"/>
          <w:numId w:val="11"/>
        </w:numPr>
        <w:tabs>
          <w:tab w:val="num" w:pos="720"/>
        </w:tabs>
        <w:spacing w:after="60" w:line="240" w:lineRule="auto"/>
        <w:ind w:left="567" w:hanging="567"/>
        <w:rPr>
          <w:sz w:val="22"/>
          <w:szCs w:val="22"/>
        </w:rPr>
      </w:pPr>
      <w:r w:rsidRPr="00747E4C">
        <w:rPr>
          <w:sz w:val="22"/>
          <w:szCs w:val="22"/>
        </w:rPr>
        <w:lastRenderedPageBreak/>
        <w:t xml:space="preserve">V případě, že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předložit poskytovateli monitorovací zprávu o realizaci projektu (včetně žádosti o platbu) nebo povinnosti předložit poskytovateli vyžádanou informaci ad hoc (uvedených v části II bodě 5.</w:t>
      </w:r>
      <w:r w:rsidR="00484B95">
        <w:rPr>
          <w:sz w:val="22"/>
          <w:szCs w:val="22"/>
        </w:rPr>
        <w:t>3</w:t>
      </w:r>
      <w:r w:rsidRPr="00747E4C">
        <w:rPr>
          <w:sz w:val="22"/>
          <w:szCs w:val="22"/>
        </w:rPr>
        <w:t xml:space="preserve"> a bodě 9, v části III v bodech 2.2 až 2.4) a prodlení bude trvat méně než 7 kalendářních dní, přičemž za určující se bere termín vyplývající z tohoto Rozhodnutí ve znění případného vyjádření poskytovatele o změně termínu;</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předložit poskytovateli monitorovací zprávu o realizaci projektu (včetně žádosti o platbu; uvedených v části II bodě 5.</w:t>
      </w:r>
      <w:r w:rsidR="00484B95">
        <w:rPr>
          <w:sz w:val="22"/>
          <w:szCs w:val="22"/>
        </w:rPr>
        <w:t>3</w:t>
      </w:r>
      <w:r w:rsidRPr="00747E4C">
        <w:rPr>
          <w:sz w:val="22"/>
          <w:szCs w:val="22"/>
        </w:rPr>
        <w:t>) a prodlení je způsobeno tím, že příjemce nemohl z důvodu prokazatelně doložitelných monitorovací zprávu o realizaci projektu nebo žádost o platbu předložit;</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povinností týkajících se oznamovací povinnosti (uvedených v části II bodě 10), včetně oznamování nepodstatných změn a v pravidlech NP AMIF je pro dané pochybení stanoveno, že nezakládá porušení rozpočtové kázně;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zadávání zakázek (uvedených v části II bodě 6.1), jež dle pravidel NP AMIF není považováno za porušení rozpočtové kázně, nebo dojde k porušení povinností uvedených v části II bodě 6.2,</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provádění informačních a komunikačních opatření (uvedených v části II bodě 8), jež dle pravidel NP AMIF není považováno za porušení rozpočtové kázně,</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bude splněna cílová hodnota monitorovacích ukazatelů výstupů uvedených v Žádosti o podporu v Příloze č. 1 tohoto Rozhodnutí z 85 % nebo více,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nedodržení finančního plánu projektu obsaženého v Příloze č. </w:t>
      </w:r>
      <w:r w:rsidR="00616E76">
        <w:rPr>
          <w:sz w:val="22"/>
          <w:szCs w:val="22"/>
        </w:rPr>
        <w:t>2</w:t>
      </w:r>
      <w:r w:rsidRPr="00747E4C">
        <w:rPr>
          <w:sz w:val="22"/>
          <w:szCs w:val="22"/>
        </w:rPr>
        <w:t xml:space="preserve"> tohoto Rozhodnutí, příp. upraveného v režimu nepodstatných změn projektu,</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přeplatku dotace (uvedených v části IV bodě 5); tento bod ovšem nezahrnuje porušení povinností dle vyhlášky č. 367/2015 Sb., o zásadách a lhůtách finančního vypořádání vztahů se státním rozpočtem, státními finančními aktivy a Národním fondem, vyhláška o finančním vypořádání,</w:t>
      </w:r>
      <w:r w:rsidRPr="00747E4C" w:rsidDel="00D77AC4">
        <w:rPr>
          <w:sz w:val="22"/>
          <w:szCs w:val="22"/>
        </w:rPr>
        <w:t xml:space="preserve"> </w:t>
      </w:r>
      <w:r w:rsidRPr="00747E4C">
        <w:rPr>
          <w:sz w:val="22"/>
          <w:szCs w:val="22"/>
        </w:rPr>
        <w:t>(viz část II bod 12),</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dle části VI tohoto Rozhodnutí,</w:t>
      </w:r>
    </w:p>
    <w:p w:rsidR="000F7B8B" w:rsidRPr="00747E4C" w:rsidRDefault="000F7B8B" w:rsidP="000F7B8B">
      <w:pPr>
        <w:pStyle w:val="slovanseznam"/>
        <w:tabs>
          <w:tab w:val="num" w:pos="1478"/>
        </w:tabs>
        <w:spacing w:before="120" w:after="200"/>
        <w:rPr>
          <w:sz w:val="22"/>
          <w:szCs w:val="22"/>
        </w:rPr>
      </w:pPr>
      <w:r w:rsidRPr="00747E4C">
        <w:rPr>
          <w:sz w:val="22"/>
          <w:szCs w:val="22"/>
        </w:rPr>
        <w:t>nejedná se o porušení rozpočtové kázně ve smyslu rozpočtových pravidel.</w:t>
      </w:r>
    </w:p>
    <w:p w:rsidR="00C31C80" w:rsidRPr="00EF7301" w:rsidRDefault="00C31C80" w:rsidP="00C31C80">
      <w:pPr>
        <w:spacing w:before="240" w:line="240" w:lineRule="auto"/>
        <w:jc w:val="center"/>
        <w:rPr>
          <w:rFonts w:eastAsia="Calibri" w:cs="Arial"/>
          <w:b/>
          <w:szCs w:val="24"/>
        </w:rPr>
      </w:pPr>
      <w:r w:rsidRPr="00EF7301">
        <w:rPr>
          <w:rFonts w:eastAsia="Calibri" w:cs="Arial"/>
          <w:b/>
          <w:szCs w:val="24"/>
        </w:rPr>
        <w:t xml:space="preserve">Část </w:t>
      </w:r>
      <w:r w:rsidRPr="00326CB0">
        <w:rPr>
          <w:rFonts w:eastAsia="Calibri" w:cs="Arial"/>
          <w:b/>
          <w:szCs w:val="24"/>
        </w:rPr>
        <w:t>VI</w:t>
      </w:r>
    </w:p>
    <w:p w:rsidR="00C31C80" w:rsidRPr="00EF7301" w:rsidRDefault="00C31C80" w:rsidP="00C31C80">
      <w:pPr>
        <w:spacing w:line="240" w:lineRule="auto"/>
        <w:jc w:val="center"/>
        <w:rPr>
          <w:rFonts w:eastAsia="Calibri" w:cs="Arial"/>
          <w:b/>
          <w:szCs w:val="24"/>
        </w:rPr>
      </w:pPr>
      <w:r w:rsidRPr="00EF7301">
        <w:rPr>
          <w:rFonts w:eastAsia="Calibri" w:cs="Arial"/>
          <w:b/>
          <w:szCs w:val="24"/>
        </w:rPr>
        <w:t>Pověření ke zpracování osobních údajů</w:t>
      </w:r>
    </w:p>
    <w:p w:rsidR="00C31C80" w:rsidRPr="00EF7301" w:rsidRDefault="00C31C80" w:rsidP="00C31C80">
      <w:pPr>
        <w:numPr>
          <w:ilvl w:val="0"/>
          <w:numId w:val="19"/>
        </w:numPr>
        <w:spacing w:before="240" w:line="240" w:lineRule="auto"/>
        <w:rPr>
          <w:rFonts w:cs="Arial"/>
          <w:b/>
          <w:bCs/>
          <w:szCs w:val="24"/>
        </w:rPr>
      </w:pPr>
      <w:r w:rsidRPr="00EF7301">
        <w:rPr>
          <w:rFonts w:cs="Arial"/>
          <w:b/>
          <w:bCs/>
          <w:szCs w:val="24"/>
        </w:rPr>
        <w:t xml:space="preserve">Pověření a účel zpracování osobních údajů </w:t>
      </w:r>
    </w:p>
    <w:p w:rsidR="00C31C80" w:rsidRPr="00EF7301" w:rsidRDefault="00C31C80" w:rsidP="00C31C80">
      <w:pPr>
        <w:pStyle w:val="slovanseznam"/>
        <w:numPr>
          <w:ilvl w:val="1"/>
          <w:numId w:val="20"/>
        </w:numPr>
        <w:spacing w:after="40" w:line="240" w:lineRule="auto"/>
        <w:rPr>
          <w:rFonts w:eastAsia="Calibri"/>
          <w:sz w:val="22"/>
        </w:rPr>
      </w:pPr>
      <w:r w:rsidRPr="00EF7301">
        <w:rPr>
          <w:rFonts w:eastAsia="Calibri"/>
          <w:sz w:val="22"/>
        </w:rPr>
        <w:t xml:space="preserve">MV pověřuje příjemce, jakožto zpracovatele, ke zpracování osobních údajů, včetně </w:t>
      </w:r>
      <w:r>
        <w:rPr>
          <w:rFonts w:eastAsia="Calibri"/>
          <w:sz w:val="22"/>
        </w:rPr>
        <w:t>zvláštní kategorie osobních údajů</w:t>
      </w:r>
      <w:r w:rsidRPr="00EF7301">
        <w:rPr>
          <w:rFonts w:eastAsia="Calibri"/>
          <w:sz w:val="22"/>
        </w:rPr>
        <w:t xml:space="preserve"> (dále jen „osobní údaje“), osob podpořených v projektu za účelem prokázání řádného a</w:t>
      </w:r>
      <w:r>
        <w:rPr>
          <w:rFonts w:eastAsia="Calibri"/>
          <w:sz w:val="22"/>
        </w:rPr>
        <w:t> </w:t>
      </w:r>
      <w:r w:rsidRPr="00EF7301">
        <w:rPr>
          <w:rFonts w:eastAsia="Calibri"/>
          <w:sz w:val="22"/>
        </w:rPr>
        <w:t xml:space="preserve">efektivního nakládání s prostředky Azylového, migračního a integračního fondu, které byly na realizaci projektu poskytnuty z NP </w:t>
      </w:r>
      <w:r>
        <w:rPr>
          <w:rFonts w:eastAsia="Calibri"/>
          <w:sz w:val="22"/>
        </w:rPr>
        <w:t>AMIF</w:t>
      </w:r>
      <w:r w:rsidRPr="00EF7301">
        <w:rPr>
          <w:rFonts w:eastAsia="Calibri"/>
          <w:sz w:val="22"/>
        </w:rPr>
        <w:t xml:space="preserve"> </w:t>
      </w:r>
      <w:r w:rsidR="0013382A">
        <w:rPr>
          <w:rFonts w:eastAsia="Calibri"/>
          <w:sz w:val="22"/>
        </w:rPr>
        <w:t>tímto</w:t>
      </w:r>
      <w:r w:rsidRPr="00EF7301">
        <w:rPr>
          <w:rFonts w:eastAsia="Calibri"/>
          <w:sz w:val="22"/>
        </w:rPr>
        <w:t xml:space="preserve"> </w:t>
      </w:r>
      <w:r w:rsidR="0013382A">
        <w:rPr>
          <w:rFonts w:eastAsia="Calibri"/>
          <w:sz w:val="22"/>
        </w:rPr>
        <w:t>Rozhodnutím</w:t>
      </w:r>
      <w:r w:rsidRPr="00EF7301">
        <w:rPr>
          <w:rFonts w:eastAsia="Calibri"/>
          <w:sz w:val="22"/>
        </w:rPr>
        <w:t xml:space="preserve">, a to v rozsahu uvedeném v bodě 2 části VI </w:t>
      </w:r>
      <w:r w:rsidR="0013382A">
        <w:rPr>
          <w:rFonts w:eastAsia="Calibri"/>
          <w:sz w:val="22"/>
        </w:rPr>
        <w:t>tohoto Rozhodnutí</w:t>
      </w:r>
      <w:r w:rsidRPr="00EF7301">
        <w:rPr>
          <w:rFonts w:eastAsia="Calibri"/>
          <w:sz w:val="22"/>
        </w:rPr>
        <w:t>.</w:t>
      </w:r>
    </w:p>
    <w:p w:rsidR="00C31C80" w:rsidRPr="00EF7301" w:rsidRDefault="00C31C80" w:rsidP="00C31C80">
      <w:pPr>
        <w:pStyle w:val="slovanseznam"/>
        <w:numPr>
          <w:ilvl w:val="1"/>
          <w:numId w:val="20"/>
        </w:numPr>
        <w:spacing w:line="240" w:lineRule="auto"/>
        <w:rPr>
          <w:rFonts w:eastAsia="Calibri"/>
          <w:sz w:val="22"/>
        </w:rPr>
      </w:pPr>
      <w:r w:rsidRPr="00326CB0">
        <w:rPr>
          <w:rFonts w:eastAsia="Calibri"/>
          <w:sz w:val="22"/>
        </w:rPr>
        <w:lastRenderedPageBreak/>
        <w:t>Poskytovatel je jakožto správce podle čl. 6 odst. 1 písm. c) a podle čl. 9 odst. 2 písm. g) nařízení Evropského parlamentu a Rady (EU) 2016/679 ze dne 27. dubna 2016, o ochraně fyzických osob v souvislosti se zpracováním osobních údajů a o volném pohybu těchto údajů a o zrušení směrnice 95/46/ES (dále jen „Obecné nařízení o ochraně osobních údajů“), oprávněn zpracovávat osobní údaje podpořených osob (včetně zvláštních kategorií osobních údajů) na základě nařízení</w:t>
      </w:r>
      <w:r w:rsidRPr="00EF7301">
        <w:rPr>
          <w:rFonts w:eastAsia="Calibri"/>
          <w:sz w:val="22"/>
        </w:rPr>
        <w:t xml:space="preserve"> na základě nařízení </w:t>
      </w:r>
      <w:r w:rsidRPr="00074ED8">
        <w:rPr>
          <w:rFonts w:eastAsia="Calibri"/>
          <w:sz w:val="22"/>
        </w:rPr>
        <w:t xml:space="preserve">Evropského parlamentu a Rady (EU) </w:t>
      </w:r>
      <w:r>
        <w:rPr>
          <w:rFonts w:eastAsia="Calibri"/>
          <w:sz w:val="22"/>
        </w:rPr>
        <w:br/>
      </w:r>
      <w:r w:rsidRPr="00074ED8">
        <w:rPr>
          <w:rFonts w:eastAsia="Calibri"/>
          <w:sz w:val="22"/>
        </w:rPr>
        <w:t>č. 514/2014 ze dne 16. dubna 2014 o obecných ustanoveních týkajících se Azylového, migračního a integračního fondu a nástroje pro finanční podporu policejní spolupráce, předcházení trestné činnosti, boje proti trestné činnosti a řešení krizí a nařízení Evropského parlamentu a Rady (EU) č. 516/2014 ze dne 16. dubna 2014, kterým se zřizuje Azylový, migrační a integrační fond, mění rozhodnutí Rady 2008/381/ES a zrušují rozhodnutí Evropského parlamentu a Rady č. 573/2007/ES a č. 575/2007/ES a rozhodnutí Rady 2007/435/ES.</w:t>
      </w:r>
    </w:p>
    <w:p w:rsidR="00C31C80" w:rsidRPr="00EF7301" w:rsidRDefault="00C31C80" w:rsidP="00C31C80">
      <w:pPr>
        <w:numPr>
          <w:ilvl w:val="0"/>
          <w:numId w:val="19"/>
        </w:numPr>
        <w:spacing w:before="240" w:line="240" w:lineRule="auto"/>
        <w:rPr>
          <w:rFonts w:cs="Arial"/>
          <w:b/>
          <w:bCs/>
          <w:szCs w:val="24"/>
        </w:rPr>
      </w:pPr>
      <w:r w:rsidRPr="00EF7301">
        <w:rPr>
          <w:rFonts w:cs="Arial"/>
          <w:b/>
          <w:bCs/>
          <w:szCs w:val="24"/>
        </w:rPr>
        <w:t>Rozsah zpracování osobních údajů na základě pověření a jejich ochrana</w:t>
      </w:r>
    </w:p>
    <w:p w:rsidR="00C31C80" w:rsidRPr="00EF7301" w:rsidRDefault="00C31C80" w:rsidP="00C31C80">
      <w:pPr>
        <w:numPr>
          <w:ilvl w:val="1"/>
          <w:numId w:val="19"/>
        </w:numPr>
        <w:spacing w:before="240" w:after="40" w:line="240" w:lineRule="auto"/>
        <w:rPr>
          <w:rFonts w:eastAsia="Calibri" w:cs="Arial"/>
          <w:szCs w:val="24"/>
          <w:lang w:eastAsia="en-US"/>
        </w:rPr>
      </w:pPr>
      <w:r w:rsidRPr="00EF7301">
        <w:rPr>
          <w:rFonts w:eastAsia="Calibri" w:cs="Arial"/>
          <w:szCs w:val="24"/>
        </w:rPr>
        <w:t>Příjemce je oprávněn zpracovávat osobní údaje podpořené osoby v rozsahu vymezeném v pravidlech NP AMIF.</w:t>
      </w:r>
    </w:p>
    <w:p w:rsidR="00C31C80" w:rsidRPr="00EF7301" w:rsidRDefault="00C31C80" w:rsidP="00C31C80">
      <w:pPr>
        <w:numPr>
          <w:ilvl w:val="1"/>
          <w:numId w:val="19"/>
        </w:numPr>
        <w:spacing w:before="40" w:after="40" w:line="240" w:lineRule="auto"/>
        <w:rPr>
          <w:rFonts w:eastAsia="Calibri" w:cs="Arial"/>
          <w:szCs w:val="24"/>
        </w:rPr>
      </w:pPr>
      <w:r w:rsidRPr="00EF7301">
        <w:rPr>
          <w:rFonts w:eastAsia="Calibri" w:cs="Arial"/>
          <w:szCs w:val="24"/>
        </w:rPr>
        <w:t>Osobní údaje je příjemce oprávněn zpracovávat výhradně v souvislosti s realizací projektu, zejména pak při přípravě monitorovacích zpráv o realizaci projektu.</w:t>
      </w:r>
    </w:p>
    <w:p w:rsidR="00C31C80" w:rsidRPr="00EF7301" w:rsidRDefault="00C31C80" w:rsidP="00C31C80">
      <w:pPr>
        <w:numPr>
          <w:ilvl w:val="0"/>
          <w:numId w:val="19"/>
        </w:numPr>
        <w:spacing w:before="240" w:line="240" w:lineRule="auto"/>
        <w:rPr>
          <w:rFonts w:cs="Arial"/>
          <w:b/>
          <w:bCs/>
          <w:szCs w:val="24"/>
        </w:rPr>
      </w:pPr>
      <w:r w:rsidRPr="00EF7301">
        <w:rPr>
          <w:rFonts w:cs="Arial"/>
          <w:b/>
          <w:bCs/>
          <w:szCs w:val="24"/>
        </w:rPr>
        <w:t>Technické a organizační zabezpečení ochrany osobních údajů</w:t>
      </w:r>
    </w:p>
    <w:p w:rsidR="00C31C80" w:rsidRDefault="00C31C80" w:rsidP="00C31C80">
      <w:pPr>
        <w:pStyle w:val="slovanseznam"/>
        <w:tabs>
          <w:tab w:val="num" w:pos="1478"/>
        </w:tabs>
        <w:spacing w:line="240" w:lineRule="auto"/>
      </w:pPr>
      <w:r w:rsidRPr="00EF7301">
        <w:rPr>
          <w:sz w:val="22"/>
        </w:rPr>
        <w:t xml:space="preserve">Příjemce je povinen zpracovávat a chránit osobní údaje v souladu </w:t>
      </w:r>
      <w:r w:rsidRPr="00DB0704">
        <w:rPr>
          <w:sz w:val="22"/>
        </w:rPr>
        <w:t>Obecným nařízením o ochraně osobních údajů</w:t>
      </w:r>
      <w:r>
        <w:rPr>
          <w:sz w:val="22"/>
        </w:rPr>
        <w:t xml:space="preserve"> a to zejména takto:</w:t>
      </w:r>
    </w:p>
    <w:p w:rsidR="00C31C80" w:rsidRPr="00326CB0" w:rsidRDefault="00C31C80" w:rsidP="00C31C80">
      <w:pPr>
        <w:numPr>
          <w:ilvl w:val="0"/>
          <w:numId w:val="21"/>
        </w:numPr>
        <w:spacing w:line="240" w:lineRule="auto"/>
        <w:rPr>
          <w:rFonts w:cs="Arial"/>
          <w:szCs w:val="24"/>
        </w:rPr>
      </w:pPr>
      <w:r w:rsidRPr="00326CB0">
        <w:rPr>
          <w:rFonts w:cs="Arial"/>
          <w:szCs w:val="24"/>
        </w:rPr>
        <w:t xml:space="preserve">osobní údaje ve fyzické podobě, tj. listinné údaje či na nosičích dat, budou uchovávány v uzamykatelných schránkách, a to po dobu uvedenou v bodě 4 </w:t>
      </w:r>
      <w:proofErr w:type="gramStart"/>
      <w:r w:rsidRPr="00326CB0">
        <w:rPr>
          <w:rFonts w:cs="Arial"/>
          <w:szCs w:val="24"/>
        </w:rPr>
        <w:t>této</w:t>
      </w:r>
      <w:proofErr w:type="gramEnd"/>
      <w:r w:rsidRPr="00326CB0">
        <w:rPr>
          <w:rFonts w:cs="Arial"/>
          <w:szCs w:val="24"/>
        </w:rPr>
        <w:t xml:space="preserve"> části </w:t>
      </w:r>
      <w:r w:rsidR="0013382A">
        <w:rPr>
          <w:rFonts w:cs="Arial"/>
          <w:szCs w:val="24"/>
        </w:rPr>
        <w:t>tohoto Rozhodnutí</w:t>
      </w:r>
      <w:r w:rsidRPr="00326CB0">
        <w:rPr>
          <w:rFonts w:cs="Arial"/>
          <w:szCs w:val="24"/>
        </w:rPr>
        <w:t xml:space="preserve">; </w:t>
      </w:r>
    </w:p>
    <w:p w:rsidR="00C31C80" w:rsidRPr="00DB0704" w:rsidRDefault="00C31C80" w:rsidP="00C31C80">
      <w:pPr>
        <w:numPr>
          <w:ilvl w:val="0"/>
          <w:numId w:val="21"/>
        </w:numPr>
        <w:spacing w:line="240" w:lineRule="auto"/>
        <w:rPr>
          <w:rFonts w:eastAsia="Calibri" w:cs="Arial"/>
          <w:szCs w:val="24"/>
        </w:rPr>
      </w:pPr>
      <w:r w:rsidRPr="00DB0704">
        <w:rPr>
          <w:rFonts w:eastAsia="Calibri" w:cs="Arial"/>
          <w:szCs w:val="24"/>
        </w:rPr>
        <w:t>pří</w:t>
      </w:r>
      <w:r w:rsidRPr="00326CB0">
        <w:rPr>
          <w:rFonts w:cs="Arial"/>
          <w:szCs w:val="24"/>
        </w:rPr>
        <w:t>stup ke zpracovávaným osobním údajům umožní příjemce pouze MV, svým zaměstnancům a</w:t>
      </w:r>
      <w:r>
        <w:rPr>
          <w:rFonts w:cs="Arial"/>
          <w:szCs w:val="24"/>
        </w:rPr>
        <w:t> </w:t>
      </w:r>
      <w:r w:rsidRPr="00326CB0">
        <w:rPr>
          <w:rFonts w:cs="Arial"/>
          <w:szCs w:val="24"/>
        </w:rPr>
        <w:t xml:space="preserve">orgánům oprávněným provádět kontrolu podle části II bodu 7 </w:t>
      </w:r>
      <w:r w:rsidR="0013382A">
        <w:rPr>
          <w:rFonts w:cs="Arial"/>
          <w:szCs w:val="24"/>
        </w:rPr>
        <w:t>tohoto Rozhodnutí</w:t>
      </w:r>
      <w:r w:rsidRPr="00326CB0">
        <w:rPr>
          <w:rFonts w:cs="Arial"/>
          <w:szCs w:val="24"/>
        </w:rPr>
        <w:t>, ledaže je dále upraveno jinak</w:t>
      </w:r>
      <w:r>
        <w:rPr>
          <w:rFonts w:eastAsia="Calibri"/>
        </w:rPr>
        <w:t>;</w:t>
      </w:r>
    </w:p>
    <w:p w:rsidR="00C31C80" w:rsidRPr="00EF7301" w:rsidRDefault="00C31C80" w:rsidP="00C31C80">
      <w:pPr>
        <w:numPr>
          <w:ilvl w:val="0"/>
          <w:numId w:val="21"/>
        </w:numPr>
        <w:spacing w:line="240" w:lineRule="auto"/>
        <w:rPr>
          <w:rFonts w:eastAsia="Calibri" w:cs="Arial"/>
          <w:szCs w:val="24"/>
        </w:rPr>
      </w:pPr>
      <w:r w:rsidRPr="00EF7301">
        <w:rPr>
          <w:rFonts w:eastAsia="Calibri" w:cs="Arial"/>
          <w:szCs w:val="24"/>
        </w:rPr>
        <w:t xml:space="preserve">zaměstnanci příjemce, kterým bude umožněn přístup ke zpracovávaným osobním údajům, </w:t>
      </w:r>
      <w:r w:rsidRPr="00DB0704">
        <w:rPr>
          <w:rFonts w:eastAsia="Calibri" w:cs="Arial"/>
          <w:szCs w:val="24"/>
        </w:rPr>
        <w:t>budou příjemcem doložitelně poučeni o povinnosti zachovávat mlčenlivost podle čl. 28 odst. 3 písm. b) Obecného nařízení o ochraně osobních údajů.</w:t>
      </w:r>
    </w:p>
    <w:p w:rsidR="00C31C80" w:rsidRPr="00EF7301" w:rsidRDefault="00C31C80" w:rsidP="00C31C80">
      <w:pPr>
        <w:numPr>
          <w:ilvl w:val="0"/>
          <w:numId w:val="19"/>
        </w:numPr>
        <w:spacing w:before="240" w:line="240" w:lineRule="auto"/>
        <w:rPr>
          <w:rFonts w:cs="Arial"/>
          <w:b/>
          <w:bCs/>
          <w:szCs w:val="24"/>
        </w:rPr>
      </w:pPr>
      <w:r w:rsidRPr="00EF7301">
        <w:rPr>
          <w:rFonts w:cs="Arial"/>
          <w:b/>
          <w:bCs/>
          <w:szCs w:val="24"/>
        </w:rPr>
        <w:t>Doba zpracování</w:t>
      </w:r>
    </w:p>
    <w:p w:rsidR="00C31C80" w:rsidRPr="00EF7301" w:rsidRDefault="00C31C80" w:rsidP="00C31C80">
      <w:pPr>
        <w:spacing w:line="240" w:lineRule="auto"/>
        <w:rPr>
          <w:rFonts w:eastAsia="Calibri" w:cs="Arial"/>
          <w:szCs w:val="24"/>
          <w:lang w:eastAsia="en-US"/>
        </w:rPr>
      </w:pPr>
      <w:r w:rsidRPr="00EF7301">
        <w:rPr>
          <w:rFonts w:eastAsia="Calibri" w:cs="Arial"/>
          <w:szCs w:val="24"/>
        </w:rPr>
        <w:t>Příjemce je oprávněn zpracovávat osobní údaje pod dobu deseti let od ukončení realizace projektu. Bez zbytečného odkladu po uplynutí této doby je příjemce povinen provést likvidaci těchto osobních údajů.</w:t>
      </w:r>
    </w:p>
    <w:p w:rsidR="00C31C80" w:rsidRPr="00EF7301" w:rsidRDefault="00C31C80" w:rsidP="00C31C80">
      <w:pPr>
        <w:numPr>
          <w:ilvl w:val="0"/>
          <w:numId w:val="19"/>
        </w:numPr>
        <w:spacing w:before="240" w:line="240" w:lineRule="auto"/>
        <w:rPr>
          <w:rFonts w:cs="Arial"/>
          <w:b/>
          <w:bCs/>
          <w:szCs w:val="24"/>
        </w:rPr>
      </w:pPr>
      <w:r w:rsidRPr="00EF7301">
        <w:rPr>
          <w:rFonts w:cs="Arial"/>
          <w:b/>
          <w:bCs/>
          <w:szCs w:val="24"/>
        </w:rPr>
        <w:t>Zpracování jiných osobních údajů podpořených osob</w:t>
      </w:r>
    </w:p>
    <w:p w:rsidR="00C31C80" w:rsidRPr="00EF7301" w:rsidRDefault="00C31C80" w:rsidP="00C31C80">
      <w:pPr>
        <w:spacing w:line="240" w:lineRule="auto"/>
        <w:rPr>
          <w:rFonts w:eastAsia="Calibri" w:cs="Arial"/>
          <w:szCs w:val="24"/>
          <w:lang w:eastAsia="en-US"/>
        </w:rPr>
      </w:pPr>
      <w:r w:rsidRPr="00EF7301">
        <w:rPr>
          <w:rFonts w:eastAsia="Calibri" w:cs="Arial"/>
          <w:szCs w:val="24"/>
        </w:rPr>
        <w:t xml:space="preserve">Pokud podpořená osoba v souvislosti se svojí účastí v projektu poskytla příjemci jiné, pro realizaci projektu nezbytné osobní údaje, než ty které uvádí v pravidlech NP AMIF, vztahují se na jejich zpracování podmínky části VI </w:t>
      </w:r>
      <w:r w:rsidR="0013382A">
        <w:rPr>
          <w:rFonts w:eastAsia="Calibri" w:cs="Arial"/>
          <w:szCs w:val="24"/>
        </w:rPr>
        <w:t>tohoto Rozhodnutí</w:t>
      </w:r>
      <w:r w:rsidRPr="00EF7301">
        <w:rPr>
          <w:rFonts w:eastAsia="Calibri" w:cs="Arial"/>
          <w:szCs w:val="24"/>
        </w:rPr>
        <w:t xml:space="preserve"> obdobně. </w:t>
      </w:r>
    </w:p>
    <w:p w:rsidR="00C31C80" w:rsidRPr="00EF7301" w:rsidRDefault="00C31C80" w:rsidP="00C31C80">
      <w:pPr>
        <w:numPr>
          <w:ilvl w:val="0"/>
          <w:numId w:val="19"/>
        </w:numPr>
        <w:spacing w:before="240" w:line="240" w:lineRule="auto"/>
        <w:ind w:left="357" w:hanging="357"/>
        <w:rPr>
          <w:rFonts w:cs="Arial"/>
          <w:b/>
          <w:bCs/>
          <w:szCs w:val="24"/>
        </w:rPr>
      </w:pPr>
      <w:r w:rsidRPr="00EF7301">
        <w:rPr>
          <w:rFonts w:cs="Arial"/>
          <w:b/>
          <w:bCs/>
          <w:szCs w:val="24"/>
        </w:rPr>
        <w:t>Zpracování ostatními osobami</w:t>
      </w:r>
    </w:p>
    <w:p w:rsidR="00C31C80" w:rsidRPr="00EF7301" w:rsidRDefault="00C31C80" w:rsidP="00C31C80">
      <w:pPr>
        <w:numPr>
          <w:ilvl w:val="1"/>
          <w:numId w:val="19"/>
        </w:numPr>
        <w:spacing w:before="120" w:after="40" w:line="240" w:lineRule="auto"/>
        <w:rPr>
          <w:rFonts w:eastAsia="Calibri" w:cs="Arial"/>
          <w:szCs w:val="24"/>
          <w:lang w:eastAsia="en-US"/>
        </w:rPr>
      </w:pPr>
      <w:r w:rsidRPr="00DB0704">
        <w:rPr>
          <w:rFonts w:eastAsia="Calibri" w:cs="Arial"/>
          <w:szCs w:val="24"/>
        </w:rPr>
        <w:t xml:space="preserve">Příjemce je povinen uzavřít smlouvu podle čl. 28 odst. 4 </w:t>
      </w:r>
      <w:proofErr w:type="gramStart"/>
      <w:r w:rsidRPr="00DB0704">
        <w:rPr>
          <w:rFonts w:eastAsia="Calibri" w:cs="Arial"/>
          <w:szCs w:val="24"/>
        </w:rPr>
        <w:t>Obecného</w:t>
      </w:r>
      <w:proofErr w:type="gramEnd"/>
      <w:r w:rsidRPr="00DB0704">
        <w:rPr>
          <w:rFonts w:eastAsia="Calibri" w:cs="Arial"/>
          <w:szCs w:val="24"/>
        </w:rPr>
        <w:t xml:space="preserve"> nařízení o ochraně osobních údajů s partnerem nebo s dodavatelem, pokud taková osoba má v souvislosti s</w:t>
      </w:r>
      <w:r>
        <w:rPr>
          <w:rFonts w:eastAsia="Calibri" w:cs="Arial"/>
          <w:szCs w:val="24"/>
        </w:rPr>
        <w:t> </w:t>
      </w:r>
      <w:r w:rsidRPr="00DB0704">
        <w:rPr>
          <w:rFonts w:eastAsia="Calibri" w:cs="Arial"/>
          <w:szCs w:val="24"/>
        </w:rPr>
        <w:t xml:space="preserve">realizací projektu zpracovávat osobní údaje podpořených osob. Stejnou povinnost má partner vůči svému dodavateli. Příjemce je povinen předem poskytovatele informovat </w:t>
      </w:r>
      <w:r>
        <w:rPr>
          <w:rFonts w:eastAsia="Calibri" w:cs="Arial"/>
          <w:szCs w:val="24"/>
        </w:rPr>
        <w:br/>
      </w:r>
      <w:r w:rsidRPr="00DB0704">
        <w:rPr>
          <w:rFonts w:eastAsia="Calibri" w:cs="Arial"/>
          <w:szCs w:val="24"/>
        </w:rPr>
        <w:t xml:space="preserve">o veškerých subjektech, které mají v projektu působit jako zpracovatelé osobních údajů. </w:t>
      </w:r>
      <w:r w:rsidRPr="00DB0704">
        <w:rPr>
          <w:rFonts w:eastAsia="Calibri" w:cs="Arial"/>
          <w:szCs w:val="24"/>
        </w:rPr>
        <w:lastRenderedPageBreak/>
        <w:t>Poskytovatel je oprávněn vyslovit vůči zapojení těchto subjektů jakožto zpracovatelů osobních údajů námitk</w:t>
      </w:r>
      <w:r>
        <w:rPr>
          <w:rFonts w:eastAsia="Calibri" w:cs="Arial"/>
          <w:szCs w:val="24"/>
        </w:rPr>
        <w:t>y</w:t>
      </w:r>
      <w:r w:rsidRPr="00EF7301">
        <w:rPr>
          <w:rFonts w:eastAsia="Calibri" w:cs="Arial"/>
          <w:szCs w:val="24"/>
        </w:rPr>
        <w:t>.</w:t>
      </w:r>
    </w:p>
    <w:p w:rsidR="00C31C80" w:rsidRDefault="00C31C80" w:rsidP="00C31C80">
      <w:pPr>
        <w:numPr>
          <w:ilvl w:val="1"/>
          <w:numId w:val="19"/>
        </w:numPr>
        <w:spacing w:before="40" w:after="40" w:line="240" w:lineRule="auto"/>
        <w:rPr>
          <w:rFonts w:eastAsia="Calibri" w:cs="Arial"/>
          <w:szCs w:val="24"/>
        </w:rPr>
      </w:pPr>
      <w:r w:rsidRPr="00EF7301">
        <w:rPr>
          <w:rFonts w:eastAsia="Calibri" w:cs="Arial"/>
          <w:szCs w:val="24"/>
        </w:rPr>
        <w:t xml:space="preserve">Smlouvy </w:t>
      </w:r>
      <w:r w:rsidRPr="00973BDA">
        <w:rPr>
          <w:rFonts w:eastAsia="Calibri" w:cs="Arial"/>
          <w:szCs w:val="24"/>
        </w:rPr>
        <w:t xml:space="preserve">uzavírané podle čl. 28 odst. 4 </w:t>
      </w:r>
      <w:proofErr w:type="gramStart"/>
      <w:r w:rsidRPr="00973BDA">
        <w:rPr>
          <w:rFonts w:eastAsia="Calibri" w:cs="Arial"/>
          <w:szCs w:val="24"/>
        </w:rPr>
        <w:t>Obecného</w:t>
      </w:r>
      <w:proofErr w:type="gramEnd"/>
      <w:r w:rsidRPr="00973BDA">
        <w:rPr>
          <w:rFonts w:eastAsia="Calibri" w:cs="Arial"/>
          <w:szCs w:val="24"/>
        </w:rPr>
        <w:t xml:space="preserve"> nařízení o ochraně osobních údajů s</w:t>
      </w:r>
      <w:r>
        <w:rPr>
          <w:rFonts w:eastAsia="Calibri" w:cs="Arial"/>
          <w:szCs w:val="24"/>
        </w:rPr>
        <w:t> </w:t>
      </w:r>
      <w:r w:rsidRPr="00973BDA">
        <w:rPr>
          <w:rFonts w:eastAsia="Calibri" w:cs="Arial"/>
          <w:szCs w:val="24"/>
        </w:rPr>
        <w:t>partnerem, resp. s dodavatelem, musí upravovat podmínky zpracování osobních údajů stejně jako podmínky stanovené v pověření příjemce dotace v této části tohoto Rozhodnutí</w:t>
      </w:r>
      <w:r w:rsidRPr="00EF7301">
        <w:rPr>
          <w:rFonts w:eastAsia="Calibri" w:cs="Arial"/>
          <w:szCs w:val="24"/>
        </w:rPr>
        <w:t>.</w:t>
      </w:r>
    </w:p>
    <w:p w:rsidR="00C31C80" w:rsidRDefault="00C31C80" w:rsidP="00C31C80">
      <w:pPr>
        <w:numPr>
          <w:ilvl w:val="1"/>
          <w:numId w:val="19"/>
        </w:numPr>
        <w:spacing w:before="40" w:after="40" w:line="240" w:lineRule="auto"/>
        <w:rPr>
          <w:rFonts w:eastAsia="Calibri" w:cs="Arial"/>
          <w:szCs w:val="24"/>
        </w:rPr>
      </w:pPr>
      <w:r w:rsidRPr="00973BDA">
        <w:rPr>
          <w:rFonts w:eastAsia="Calibri" w:cs="Arial"/>
          <w:szCs w:val="24"/>
        </w:rPr>
        <w:t>Neplní-li uvedený další zpracovatel své povinnosti v oblasti ochrany osobních údajů, odpovídá správci za plnění povinností dotčeného dalšího zpracovatele i nadále plně prvotní zpracovatel</w:t>
      </w:r>
      <w:r>
        <w:rPr>
          <w:rFonts w:eastAsia="Calibri" w:cs="Arial"/>
          <w:szCs w:val="24"/>
        </w:rPr>
        <w:t>.</w:t>
      </w:r>
    </w:p>
    <w:p w:rsidR="00C31C80" w:rsidRPr="00973BDA" w:rsidRDefault="00C31C80" w:rsidP="00C31C80">
      <w:pPr>
        <w:numPr>
          <w:ilvl w:val="0"/>
          <w:numId w:val="19"/>
        </w:numPr>
        <w:spacing w:before="240" w:line="240" w:lineRule="auto"/>
        <w:ind w:left="357" w:hanging="357"/>
        <w:rPr>
          <w:rFonts w:eastAsia="Calibri" w:cs="Arial"/>
          <w:szCs w:val="24"/>
        </w:rPr>
      </w:pPr>
      <w:r w:rsidRPr="00326CB0">
        <w:rPr>
          <w:rFonts w:cs="Arial"/>
          <w:b/>
          <w:bCs/>
          <w:szCs w:val="24"/>
        </w:rPr>
        <w:t xml:space="preserve"> Další povinnosti příjemce v souvislosti se zpracováním osobních údajů</w:t>
      </w:r>
    </w:p>
    <w:p w:rsidR="00C31C80" w:rsidRPr="00973BDA" w:rsidRDefault="00C31C80" w:rsidP="00C31C80">
      <w:pPr>
        <w:numPr>
          <w:ilvl w:val="1"/>
          <w:numId w:val="19"/>
        </w:numPr>
        <w:spacing w:before="40" w:after="40" w:line="240" w:lineRule="auto"/>
        <w:rPr>
          <w:rFonts w:eastAsia="Calibri" w:cs="Arial"/>
          <w:szCs w:val="24"/>
        </w:rPr>
      </w:pPr>
      <w:r w:rsidRPr="00973BDA">
        <w:rPr>
          <w:rFonts w:eastAsia="Calibri" w:cs="Arial"/>
          <w:szCs w:val="24"/>
        </w:rPr>
        <w:t xml:space="preserve">Příjemce je povinen poskytovatele v souladu s čl. 33 odst. 2 </w:t>
      </w:r>
      <w:proofErr w:type="gramStart"/>
      <w:r w:rsidRPr="00973BDA">
        <w:rPr>
          <w:rFonts w:eastAsia="Calibri" w:cs="Arial"/>
          <w:szCs w:val="24"/>
        </w:rPr>
        <w:t>Obecného</w:t>
      </w:r>
      <w:proofErr w:type="gramEnd"/>
      <w:r w:rsidRPr="00973BDA">
        <w:rPr>
          <w:rFonts w:eastAsia="Calibri" w:cs="Arial"/>
          <w:szCs w:val="24"/>
        </w:rPr>
        <w:t xml:space="preserve"> nařízení o ochraně osobních údajů informovat o jakémkoli porušení zabezpečení osobních údajů, a to do 24 hodin od okamžiku, kdy se o něm dozvěděl. </w:t>
      </w:r>
    </w:p>
    <w:p w:rsidR="00C31C80" w:rsidRPr="00973BDA" w:rsidRDefault="00C31C80" w:rsidP="00C31C80">
      <w:pPr>
        <w:numPr>
          <w:ilvl w:val="1"/>
          <w:numId w:val="19"/>
        </w:numPr>
        <w:spacing w:before="40" w:after="40" w:line="240" w:lineRule="auto"/>
        <w:rPr>
          <w:rFonts w:eastAsia="Calibri" w:cs="Arial"/>
          <w:szCs w:val="24"/>
        </w:rPr>
      </w:pPr>
      <w:r w:rsidRPr="00973BDA">
        <w:rPr>
          <w:rFonts w:eastAsia="Calibri" w:cs="Arial"/>
          <w:szCs w:val="24"/>
        </w:rPr>
        <w:t>Příjemce je povinen na základě vyžádání předat poskytovateli veškeré informace potřebné k</w:t>
      </w:r>
      <w:r>
        <w:rPr>
          <w:rFonts w:eastAsia="Calibri" w:cs="Arial"/>
          <w:szCs w:val="24"/>
        </w:rPr>
        <w:t> </w:t>
      </w:r>
      <w:r w:rsidRPr="00973BDA">
        <w:rPr>
          <w:rFonts w:eastAsia="Calibri" w:cs="Arial"/>
          <w:szCs w:val="24"/>
        </w:rPr>
        <w:t>doložení splnění povinností stanovených v této části Rozhodnutí.</w:t>
      </w:r>
    </w:p>
    <w:p w:rsidR="00C31C80" w:rsidRPr="00EF7301" w:rsidRDefault="00C31C80" w:rsidP="00C31C80">
      <w:pPr>
        <w:numPr>
          <w:ilvl w:val="1"/>
          <w:numId w:val="19"/>
        </w:numPr>
        <w:spacing w:before="40" w:after="40" w:line="240" w:lineRule="auto"/>
        <w:rPr>
          <w:rFonts w:eastAsia="Calibri" w:cs="Arial"/>
          <w:szCs w:val="24"/>
        </w:rPr>
      </w:pPr>
      <w:r w:rsidRPr="00973BDA">
        <w:rPr>
          <w:rFonts w:eastAsia="Calibri" w:cs="Arial"/>
          <w:szCs w:val="24"/>
        </w:rPr>
        <w:t>Příjemce je povinen spolupracovat s poskytovatelem při plnění jeho povinnosti reagovat na žádosti podpořených osob týkající se jejich osobních údajů.</w:t>
      </w:r>
    </w:p>
    <w:p w:rsidR="000F7B8B" w:rsidRPr="00747E4C" w:rsidRDefault="000F7B8B" w:rsidP="000F7B8B">
      <w:pPr>
        <w:spacing w:before="360"/>
        <w:jc w:val="center"/>
        <w:rPr>
          <w:rFonts w:cs="Arial"/>
          <w:b/>
        </w:rPr>
      </w:pPr>
      <w:r w:rsidRPr="00747E4C">
        <w:rPr>
          <w:rFonts w:cs="Arial"/>
          <w:b/>
        </w:rPr>
        <w:t>Část VII</w:t>
      </w:r>
    </w:p>
    <w:p w:rsidR="000F7B8B" w:rsidRPr="00747E4C" w:rsidRDefault="000F7B8B" w:rsidP="000F7B8B">
      <w:pPr>
        <w:jc w:val="center"/>
        <w:rPr>
          <w:rFonts w:cs="Arial"/>
          <w:b/>
        </w:rPr>
      </w:pPr>
      <w:r w:rsidRPr="00747E4C">
        <w:rPr>
          <w:rFonts w:cs="Arial"/>
          <w:b/>
        </w:rPr>
        <w:t>Závěrečná ustanovení</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Pojmy uvedené v tomto Rozhodnutí jsou používány ve smyslu, jak jsou definovány v pravidlech NP AMIF.</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Rozhodnutí nabývá účinnosti dnem podpisu poskytovatelem dotace.</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Rozhodnutí se vyhotovuje v</w:t>
      </w:r>
      <w:r>
        <w:rPr>
          <w:iCs/>
          <w:snapToGrid w:val="0"/>
          <w:sz w:val="22"/>
          <w:szCs w:val="22"/>
        </w:rPr>
        <w:t> elektronické</w:t>
      </w:r>
      <w:r w:rsidRPr="00747E4C">
        <w:rPr>
          <w:iCs/>
          <w:snapToGrid w:val="0"/>
          <w:sz w:val="22"/>
          <w:szCs w:val="22"/>
        </w:rPr>
        <w:t xml:space="preserve"> podobě.</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Příjemce dotace je povinen řídit se při realizaci projektu ustanoveními příloh uvedených v bodě 5 této části Rozhodnutí a dále dokumenty, které jsou zmíněny v části II bodě 1 tohoto Rozhodnutí.</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Součástí Rozhodnutí jsou tyto přílohy:</w:t>
      </w:r>
    </w:p>
    <w:p w:rsidR="000F7B8B" w:rsidRPr="00747E4C" w:rsidRDefault="000F7B8B" w:rsidP="000F7B8B">
      <w:pPr>
        <w:pStyle w:val="slovanseznam"/>
        <w:numPr>
          <w:ilvl w:val="0"/>
          <w:numId w:val="6"/>
        </w:numPr>
        <w:spacing w:line="240" w:lineRule="auto"/>
        <w:rPr>
          <w:iCs/>
          <w:snapToGrid w:val="0"/>
          <w:sz w:val="22"/>
          <w:szCs w:val="22"/>
        </w:rPr>
      </w:pPr>
      <w:r w:rsidRPr="00747E4C">
        <w:rPr>
          <w:iCs/>
          <w:snapToGrid w:val="0"/>
          <w:sz w:val="22"/>
          <w:szCs w:val="22"/>
        </w:rPr>
        <w:t>Příloha č. 1 – Žádost o podporu</w:t>
      </w:r>
    </w:p>
    <w:p w:rsidR="000F7B8B" w:rsidRPr="00747E4C" w:rsidRDefault="00531512" w:rsidP="000F7B8B">
      <w:pPr>
        <w:pStyle w:val="slovanseznam"/>
        <w:numPr>
          <w:ilvl w:val="0"/>
          <w:numId w:val="6"/>
        </w:numPr>
        <w:spacing w:line="240" w:lineRule="auto"/>
        <w:rPr>
          <w:iCs/>
          <w:snapToGrid w:val="0"/>
          <w:sz w:val="22"/>
          <w:szCs w:val="22"/>
        </w:rPr>
      </w:pPr>
      <w:r>
        <w:rPr>
          <w:iCs/>
          <w:snapToGrid w:val="0"/>
          <w:sz w:val="22"/>
          <w:szCs w:val="22"/>
          <w:shd w:val="clear" w:color="auto" w:fill="D9D9D9" w:themeFill="background1" w:themeFillShade="D9"/>
        </w:rPr>
        <w:t>Příloha č. 2 – Rozpočet projektu</w:t>
      </w:r>
    </w:p>
    <w:p w:rsidR="000F7B8B"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 xml:space="preserve">Veškeré změny Rozhodnutí je možné provádět pouze na základě žádosti příjemce dotace. Změny projektu lze provádět v režimu nepodstatné změny nebo podstatné změny. Podstatná změna ve vymezených případech dle pravidel NP AMIF vyžaduje vydání rozhodnutí o změně tohoto Rozhodnutí, v ostatních vymezených případech dle pravidel NP AMIF je podstatná změna schválena rozhodnutím poskytovatele. Nepodstatné změny lze provádět bez souhlasu poskytovatele. Podrobnosti stanoví pravidla NP AMIF. </w:t>
      </w:r>
    </w:p>
    <w:p w:rsidR="00C31C80" w:rsidRPr="008202EC" w:rsidRDefault="00C31C80" w:rsidP="008202EC">
      <w:pPr>
        <w:spacing w:before="360"/>
        <w:jc w:val="center"/>
        <w:rPr>
          <w:b/>
        </w:rPr>
      </w:pPr>
      <w:r w:rsidRPr="008202EC">
        <w:rPr>
          <w:rFonts w:cs="Arial"/>
          <w:b/>
        </w:rPr>
        <w:t>Část VIII</w:t>
      </w:r>
    </w:p>
    <w:p w:rsidR="00C31C80" w:rsidRPr="008202EC" w:rsidRDefault="00C31C80" w:rsidP="008202EC">
      <w:pPr>
        <w:jc w:val="center"/>
        <w:rPr>
          <w:b/>
        </w:rPr>
      </w:pPr>
      <w:r w:rsidRPr="008202EC">
        <w:rPr>
          <w:rFonts w:cs="Arial"/>
          <w:b/>
        </w:rPr>
        <w:t>Poučení</w:t>
      </w:r>
    </w:p>
    <w:p w:rsidR="00C31C80" w:rsidRPr="00DC7F37" w:rsidRDefault="00ED3D20" w:rsidP="00DC7F37">
      <w:pPr>
        <w:pStyle w:val="slovanseznam"/>
        <w:numPr>
          <w:ilvl w:val="0"/>
          <w:numId w:val="23"/>
        </w:numPr>
        <w:spacing w:line="240" w:lineRule="auto"/>
        <w:rPr>
          <w:iCs/>
          <w:snapToGrid w:val="0"/>
          <w:sz w:val="22"/>
          <w:szCs w:val="22"/>
        </w:rPr>
      </w:pPr>
      <w:r w:rsidRPr="00DC7F37">
        <w:rPr>
          <w:iCs/>
          <w:snapToGrid w:val="0"/>
          <w:sz w:val="22"/>
          <w:szCs w:val="22"/>
        </w:rPr>
        <w:t>Proti tomuto rozhodnutí není v souladu s § 14q odst. 2 zákona č. 218/2000 Sb., o rozpočtových pravidlech a o změně některých souvisejících zák</w:t>
      </w:r>
      <w:bookmarkStart w:id="0" w:name="_GoBack"/>
      <w:bookmarkEnd w:id="0"/>
      <w:r w:rsidRPr="00DC7F37">
        <w:rPr>
          <w:iCs/>
          <w:snapToGrid w:val="0"/>
          <w:sz w:val="22"/>
          <w:szCs w:val="22"/>
        </w:rPr>
        <w:t>onů (rozpočtová pravidla), ve znění pozdějších předpisů, odvolání ani rozklad.</w:t>
      </w:r>
    </w:p>
    <w:p w:rsidR="00531512" w:rsidRPr="00DC7F37" w:rsidRDefault="00C31C80" w:rsidP="00DC7F37">
      <w:pPr>
        <w:pStyle w:val="slovanseznam"/>
        <w:numPr>
          <w:ilvl w:val="0"/>
          <w:numId w:val="23"/>
        </w:numPr>
        <w:spacing w:line="240" w:lineRule="auto"/>
        <w:rPr>
          <w:iCs/>
          <w:snapToGrid w:val="0"/>
          <w:sz w:val="22"/>
          <w:szCs w:val="22"/>
        </w:rPr>
      </w:pPr>
      <w:r w:rsidRPr="00DC7F37">
        <w:rPr>
          <w:iCs/>
          <w:snapToGrid w:val="0"/>
          <w:sz w:val="22"/>
          <w:szCs w:val="22"/>
        </w:rPr>
        <w:t>Za podmínek stanovených v § 15 rozpočtových pravidel může být zahájeno řízení o odnětí dotace. Na řízení o odnětí dotace se vztahují obecné předpisy o správním řízení.</w:t>
      </w:r>
    </w:p>
    <w:p w:rsidR="008202EC" w:rsidRDefault="008202EC" w:rsidP="000F7B8B">
      <w:pPr>
        <w:rPr>
          <w:rFonts w:cs="Arial"/>
        </w:rPr>
      </w:pPr>
    </w:p>
    <w:p w:rsidR="000F7B8B" w:rsidRPr="00747E4C" w:rsidRDefault="000F7B8B" w:rsidP="000F7B8B">
      <w:pPr>
        <w:rPr>
          <w:rFonts w:cs="Arial"/>
        </w:rPr>
      </w:pPr>
      <w:r w:rsidRPr="00747E4C">
        <w:rPr>
          <w:rFonts w:cs="Arial"/>
        </w:rPr>
        <w:t xml:space="preserve">V Praze </w:t>
      </w:r>
    </w:p>
    <w:p w:rsidR="00993D40" w:rsidRDefault="000F7B8B" w:rsidP="000F7B8B">
      <w:pPr>
        <w:rPr>
          <w:rFonts w:cs="Arial"/>
        </w:rPr>
      </w:pPr>
      <w:r>
        <w:rPr>
          <w:rFonts w:cs="Arial"/>
          <w:i/>
        </w:rPr>
        <w:tab/>
      </w:r>
      <w:r>
        <w:rPr>
          <w:rFonts w:cs="Arial"/>
          <w:i/>
        </w:rPr>
        <w:tab/>
      </w:r>
      <w:r>
        <w:rPr>
          <w:rFonts w:cs="Arial"/>
          <w:i/>
        </w:rPr>
        <w:tab/>
      </w:r>
      <w:r>
        <w:rPr>
          <w:rFonts w:cs="Arial"/>
          <w:i/>
        </w:rPr>
        <w:tab/>
      </w:r>
      <w:r>
        <w:rPr>
          <w:rFonts w:cs="Arial"/>
          <w:i/>
        </w:rPr>
        <w:tab/>
      </w:r>
      <w:r>
        <w:rPr>
          <w:rFonts w:cs="Arial"/>
          <w:i/>
        </w:rPr>
        <w:tab/>
      </w:r>
      <w:r w:rsidRPr="00747E4C">
        <w:rPr>
          <w:rFonts w:cs="Arial"/>
        </w:rPr>
        <w:t>…………………………………………………………..</w:t>
      </w:r>
    </w:p>
    <w:p w:rsidR="001859E6" w:rsidRPr="00993D40" w:rsidRDefault="000F7B8B" w:rsidP="00993D40">
      <w:pPr>
        <w:ind w:left="1416" w:firstLine="708"/>
        <w:rPr>
          <w:rFonts w:cs="Arial"/>
        </w:rPr>
      </w:pPr>
      <w:r w:rsidRPr="00747E4C">
        <w:rPr>
          <w:rFonts w:cs="Arial"/>
        </w:rPr>
        <w:t>(podpis osoby oprávněné vydat rozhodnutí a</w:t>
      </w:r>
      <w:r w:rsidR="00993D40">
        <w:rPr>
          <w:rFonts w:cs="Arial"/>
        </w:rPr>
        <w:t xml:space="preserve"> </w:t>
      </w:r>
      <w:r w:rsidRPr="00747E4C">
        <w:rPr>
          <w:rFonts w:cs="Arial"/>
        </w:rPr>
        <w:t>uvedení jejího jména a funkce)</w:t>
      </w:r>
    </w:p>
    <w:sectPr w:rsidR="001859E6" w:rsidRPr="00993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6E" w:rsidRDefault="00B5376E" w:rsidP="000F7B8B">
      <w:pPr>
        <w:spacing w:after="0" w:line="240" w:lineRule="auto"/>
      </w:pPr>
      <w:r>
        <w:separator/>
      </w:r>
    </w:p>
  </w:endnote>
  <w:endnote w:type="continuationSeparator" w:id="0">
    <w:p w:rsidR="00B5376E" w:rsidRDefault="00B5376E" w:rsidP="000F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6E" w:rsidRDefault="00B5376E" w:rsidP="000F7B8B">
      <w:pPr>
        <w:spacing w:after="0" w:line="240" w:lineRule="auto"/>
      </w:pPr>
      <w:r>
        <w:separator/>
      </w:r>
    </w:p>
  </w:footnote>
  <w:footnote w:type="continuationSeparator" w:id="0">
    <w:p w:rsidR="00B5376E" w:rsidRDefault="00B5376E" w:rsidP="000F7B8B">
      <w:pPr>
        <w:spacing w:after="0" w:line="240" w:lineRule="auto"/>
      </w:pPr>
      <w:r>
        <w:continuationSeparator/>
      </w:r>
    </w:p>
  </w:footnote>
  <w:footnote w:id="1">
    <w:p w:rsidR="00ED3D20" w:rsidRDefault="00ED3D20">
      <w:pPr>
        <w:pStyle w:val="Textpoznpodarou"/>
      </w:pPr>
      <w:r>
        <w:rPr>
          <w:rStyle w:val="Znakapoznpodarou"/>
        </w:rPr>
        <w:footnoteRef/>
      </w:r>
      <w:r>
        <w:t xml:space="preserve"> Datum podpisu žádosti o podporu, poslední verze před vydáním právního aktu (tj. po zapracování případných podmínek)</w:t>
      </w:r>
    </w:p>
  </w:footnote>
  <w:footnote w:id="2">
    <w:p w:rsidR="000F7B8B" w:rsidRPr="00B72B66" w:rsidRDefault="000F7B8B" w:rsidP="000F7B8B">
      <w:pPr>
        <w:pStyle w:val="Textpoznpodarou"/>
        <w:rPr>
          <w:sz w:val="20"/>
        </w:rPr>
      </w:pPr>
      <w:r w:rsidRPr="00C16DD0">
        <w:rPr>
          <w:rStyle w:val="Znakapoznpodarou"/>
          <w:rFonts w:eastAsiaTheme="majorEastAsia"/>
          <w:sz w:val="18"/>
          <w:szCs w:val="18"/>
        </w:rPr>
        <w:footnoteRef/>
      </w:r>
      <w:r w:rsidRPr="00C16DD0">
        <w:rPr>
          <w:sz w:val="18"/>
          <w:szCs w:val="18"/>
        </w:rPr>
        <w:t xml:space="preserve"> </w:t>
      </w:r>
      <w:r w:rsidRPr="00B72B66">
        <w:rPr>
          <w:sz w:val="20"/>
        </w:rPr>
        <w:t>Rozdělení není nezbytnou součástí právního aktu u projektů, které jsou plně financovány v některém z režimů zjednodušeného vykazování výdajů.</w:t>
      </w:r>
    </w:p>
  </w:footnote>
  <w:footnote w:id="3">
    <w:p w:rsidR="000F7B8B" w:rsidRPr="00037E7C" w:rsidRDefault="000F7B8B" w:rsidP="000F7B8B">
      <w:pPr>
        <w:pStyle w:val="Textpoznpodarou"/>
        <w:rPr>
          <w:sz w:val="20"/>
        </w:rPr>
      </w:pPr>
      <w:r w:rsidRPr="00C16DD0">
        <w:rPr>
          <w:rStyle w:val="Znakapoznpodarou"/>
          <w:rFonts w:eastAsiaTheme="majorEastAsia"/>
          <w:sz w:val="18"/>
          <w:szCs w:val="18"/>
        </w:rPr>
        <w:footnoteRef/>
      </w:r>
      <w:r w:rsidRPr="00C16DD0">
        <w:rPr>
          <w:sz w:val="18"/>
          <w:szCs w:val="18"/>
        </w:rPr>
        <w:t xml:space="preserve"> </w:t>
      </w:r>
      <w:r w:rsidRPr="00037E7C">
        <w:rPr>
          <w:sz w:val="20"/>
        </w:rPr>
        <w:t>Vložit formulaci účelu dotace.</w:t>
      </w:r>
    </w:p>
  </w:footnote>
  <w:footnote w:id="4">
    <w:p w:rsidR="000F7B8B" w:rsidRPr="00B72B66" w:rsidRDefault="000F7B8B" w:rsidP="000F7B8B">
      <w:pPr>
        <w:pStyle w:val="Textpoznpodarou"/>
        <w:tabs>
          <w:tab w:val="left" w:pos="180"/>
        </w:tabs>
        <w:ind w:left="181" w:hanging="181"/>
        <w:rPr>
          <w:sz w:val="20"/>
        </w:rPr>
      </w:pPr>
      <w:r>
        <w:rPr>
          <w:rStyle w:val="Znakapoznpodarou"/>
          <w:rFonts w:eastAsiaTheme="majorEastAsia"/>
        </w:rPr>
        <w:footnoteRef/>
      </w:r>
      <w:r>
        <w:tab/>
      </w:r>
      <w:r w:rsidRPr="00B72B66">
        <w:rPr>
          <w:sz w:val="20"/>
        </w:rPr>
        <w:t>Případně podle zvláštního zákona, pokud zvláštní zákon obsahuje vlastní úpravu vypořádání.</w:t>
      </w:r>
    </w:p>
  </w:footnote>
  <w:footnote w:id="5">
    <w:p w:rsidR="000F7B8B" w:rsidRPr="00827675" w:rsidRDefault="000F7B8B" w:rsidP="000F7B8B">
      <w:pPr>
        <w:pStyle w:val="Textpoznpodarou"/>
        <w:tabs>
          <w:tab w:val="left" w:pos="180"/>
        </w:tabs>
        <w:ind w:left="181" w:hanging="181"/>
        <w:rPr>
          <w:sz w:val="20"/>
        </w:rPr>
      </w:pPr>
      <w:r>
        <w:rPr>
          <w:rStyle w:val="Znakapoznpodarou"/>
          <w:rFonts w:eastAsiaTheme="majorEastAsia"/>
        </w:rPr>
        <w:footnoteRef/>
      </w:r>
      <w:r>
        <w:tab/>
      </w:r>
      <w:r w:rsidRPr="00827675">
        <w:rPr>
          <w:sz w:val="20"/>
        </w:rPr>
        <w:t>§ 44a odstavce 11 zákona č. 218/2000 Sb., o rozpočtových pravidlech, stanovuje, že odvod a penále lze vyměřit do 10 let od 1. ledna roku následujícího po roce, v němž došlo k porušení rozpočtové kázně. Po tuto dobu by měly být dokumenty archivovány. Pokud příjemce dotace neprokáže, jak byly prostředky použity, je to považováno za neoprávněné použití peněžních prostředků dle § 3 písmo e) zákona č. 218/2000 Sb., o</w:t>
      </w:r>
      <w:r>
        <w:rPr>
          <w:sz w:val="20"/>
        </w:rPr>
        <w:t> </w:t>
      </w:r>
      <w:r w:rsidRPr="00827675">
        <w:rPr>
          <w:sz w:val="20"/>
        </w:rPr>
        <w:t>rozpočtových pravidlech.</w:t>
      </w:r>
    </w:p>
  </w:footnote>
  <w:footnote w:id="6">
    <w:p w:rsidR="000F7B8B" w:rsidRPr="00831BE5" w:rsidRDefault="000F7B8B" w:rsidP="000F7B8B">
      <w:pPr>
        <w:pStyle w:val="Textpoznpodarou"/>
        <w:tabs>
          <w:tab w:val="left" w:pos="360"/>
        </w:tabs>
        <w:ind w:left="181" w:hanging="181"/>
        <w:rPr>
          <w:sz w:val="20"/>
        </w:rPr>
      </w:pPr>
      <w:r>
        <w:rPr>
          <w:rStyle w:val="Znakapoznpodarou"/>
          <w:rFonts w:eastAsiaTheme="majorEastAsia"/>
        </w:rPr>
        <w:footnoteRef/>
      </w:r>
      <w:r>
        <w:tab/>
      </w:r>
      <w:r w:rsidRPr="00831BE5">
        <w:rPr>
          <w:sz w:val="20"/>
        </w:rPr>
        <w:t>Ustanovení se použije, pouze pokud má příjemce v projektu alespoň jednoho partnera s finančním příspěvkem.</w:t>
      </w:r>
    </w:p>
  </w:footnote>
  <w:footnote w:id="7">
    <w:p w:rsidR="000F7B8B" w:rsidRPr="008B3247" w:rsidRDefault="000F7B8B" w:rsidP="000F7B8B">
      <w:pPr>
        <w:pStyle w:val="Textpoznpodarou"/>
        <w:rPr>
          <w:sz w:val="20"/>
        </w:rPr>
      </w:pPr>
      <w:r w:rsidRPr="008B3247">
        <w:rPr>
          <w:rStyle w:val="Znakapoznpodarou"/>
          <w:sz w:val="20"/>
        </w:rPr>
        <w:footnoteRef/>
      </w:r>
      <w:r w:rsidRPr="008B3247">
        <w:rPr>
          <w:sz w:val="20"/>
        </w:rPr>
        <w:t xml:space="preserve"> Bude uvedenou pouze v případě, je-li v projektu aplikováno partnerství a současně</w:t>
      </w:r>
      <w:r>
        <w:rPr>
          <w:sz w:val="20"/>
        </w:rPr>
        <w:t xml:space="preserve"> je</w:t>
      </w:r>
      <w:r w:rsidRPr="008B3247">
        <w:rPr>
          <w:sz w:val="20"/>
        </w:rPr>
        <w:t xml:space="preserve"> tak uveden </w:t>
      </w:r>
      <w:r>
        <w:rPr>
          <w:sz w:val="20"/>
        </w:rPr>
        <w:t>bod</w:t>
      </w:r>
      <w:r w:rsidRPr="008B3247">
        <w:rPr>
          <w:sz w:val="20"/>
        </w:rPr>
        <w:t xml:space="preserve"> 16 v části II </w:t>
      </w:r>
      <w:r>
        <w:rPr>
          <w:sz w:val="20"/>
        </w:rPr>
        <w:t>tohoto Rozhodnutí.</w:t>
      </w:r>
    </w:p>
  </w:footnote>
  <w:footnote w:id="8">
    <w:p w:rsidR="000F7B8B" w:rsidRPr="00B72B66" w:rsidRDefault="000F7B8B" w:rsidP="000F7B8B">
      <w:pPr>
        <w:pStyle w:val="Textpoznpodarou"/>
        <w:tabs>
          <w:tab w:val="left" w:pos="180"/>
        </w:tabs>
        <w:ind w:left="181" w:hanging="181"/>
        <w:rPr>
          <w:sz w:val="20"/>
        </w:rPr>
      </w:pPr>
      <w:r>
        <w:rPr>
          <w:rStyle w:val="Znakapoznpodarou"/>
          <w:rFonts w:eastAsiaTheme="majorEastAsia"/>
        </w:rPr>
        <w:footnoteRef/>
      </w:r>
      <w:r>
        <w:tab/>
      </w:r>
      <w:r w:rsidRPr="00827675">
        <w:rPr>
          <w:sz w:val="20"/>
        </w:rPr>
        <w:t>Podle § 14 odst. 4 písm. k) rozpočtových pravidel lze určit, že porušení některé z povinností stanovených v rozhodnutí o poskytnutí dotace nejsou porušením rozpočtové kázně. Takto ale nelze postupovat u povinností stanovených právními předpisy</w:t>
      </w:r>
      <w:r w:rsidRPr="00B72B66">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CE7E4E06"/>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4"/>
        <w:szCs w:val="24"/>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15:restartNumberingAfterBreak="0">
    <w:nsid w:val="003C1D90"/>
    <w:multiLevelType w:val="multilevel"/>
    <w:tmpl w:val="4484D9C6"/>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5D746A5"/>
    <w:multiLevelType w:val="hybridMultilevel"/>
    <w:tmpl w:val="07EAEFB0"/>
    <w:lvl w:ilvl="0" w:tplc="B58EB38A">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B9A56FF"/>
    <w:multiLevelType w:val="multilevel"/>
    <w:tmpl w:val="81ECB2C2"/>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C336F8"/>
    <w:multiLevelType w:val="multilevel"/>
    <w:tmpl w:val="3B5CAF10"/>
    <w:lvl w:ilvl="0">
      <w:start w:val="1"/>
      <w:numFmt w:val="decimal"/>
      <w:lvlText w:val="%1."/>
      <w:lvlJc w:val="left"/>
      <w:pPr>
        <w:ind w:left="360" w:hanging="360"/>
      </w:pPr>
      <w:rPr>
        <w:b/>
        <w:sz w:val="24"/>
        <w:szCs w:val="24"/>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1FE696C"/>
    <w:multiLevelType w:val="multilevel"/>
    <w:tmpl w:val="2CF8941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567DCD"/>
    <w:multiLevelType w:val="hybridMultilevel"/>
    <w:tmpl w:val="C9D0B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726B1F"/>
    <w:multiLevelType w:val="hybridMultilevel"/>
    <w:tmpl w:val="A38A8744"/>
    <w:lvl w:ilvl="0" w:tplc="D5EC48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31C15"/>
    <w:multiLevelType w:val="multilevel"/>
    <w:tmpl w:val="75384AC2"/>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33A797E"/>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4B25B72"/>
    <w:multiLevelType w:val="multilevel"/>
    <w:tmpl w:val="FBBE5600"/>
    <w:lvl w:ilvl="0">
      <w:start w:val="1"/>
      <w:numFmt w:val="decimal"/>
      <w:lvlText w:val="%1."/>
      <w:lvlJc w:val="left"/>
      <w:pPr>
        <w:ind w:left="360" w:hanging="360"/>
      </w:pPr>
      <w:rPr>
        <w:sz w:val="22"/>
        <w:szCs w:val="22"/>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2" w15:restartNumberingAfterBreak="0">
    <w:nsid w:val="38D16BCE"/>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AA1BB6"/>
    <w:multiLevelType w:val="hybridMultilevel"/>
    <w:tmpl w:val="AD9022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2873E22"/>
    <w:multiLevelType w:val="multilevel"/>
    <w:tmpl w:val="6CD23B4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5E62A8D"/>
    <w:multiLevelType w:val="hybridMultilevel"/>
    <w:tmpl w:val="45C275A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58797376"/>
    <w:multiLevelType w:val="hybridMultilevel"/>
    <w:tmpl w:val="3AF64ECC"/>
    <w:lvl w:ilvl="0" w:tplc="1756929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5B256C91"/>
    <w:multiLevelType w:val="hybridMultilevel"/>
    <w:tmpl w:val="A38A8744"/>
    <w:lvl w:ilvl="0" w:tplc="D5EC48AC">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629C3F4B"/>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31E2775"/>
    <w:multiLevelType w:val="hybridMultilevel"/>
    <w:tmpl w:val="83AA9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1C3D46"/>
    <w:multiLevelType w:val="hybridMultilevel"/>
    <w:tmpl w:val="CDC46798"/>
    <w:lvl w:ilvl="0" w:tplc="70D6200C">
      <w:start w:val="1"/>
      <w:numFmt w:val="lowerLetter"/>
      <w:lvlText w:val="%1)"/>
      <w:lvlJc w:val="left"/>
      <w:pPr>
        <w:ind w:left="927" w:hanging="360"/>
      </w:pPr>
      <w:rPr>
        <w:rFonts w:hint="default"/>
        <w:sz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783B4FD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0"/>
  </w:num>
  <w:num w:numId="3">
    <w:abstractNumId w:val="4"/>
  </w:num>
  <w:num w:numId="4">
    <w:abstractNumId w:val="14"/>
  </w:num>
  <w:num w:numId="5">
    <w:abstractNumId w:val="21"/>
  </w:num>
  <w:num w:numId="6">
    <w:abstractNumId w:val="13"/>
  </w:num>
  <w:num w:numId="7">
    <w:abstractNumId w:val="2"/>
  </w:num>
  <w:num w:numId="8">
    <w:abstractNumId w:val="3"/>
  </w:num>
  <w:num w:numId="9">
    <w:abstractNumId w:val="15"/>
  </w:num>
  <w:num w:numId="10">
    <w:abstractNumId w:val="9"/>
  </w:num>
  <w:num w:numId="11">
    <w:abstractNumId w:val="6"/>
  </w:num>
  <w:num w:numId="12">
    <w:abstractNumId w:val="7"/>
  </w:num>
  <w:num w:numId="13">
    <w:abstractNumId w:val="16"/>
  </w:num>
  <w:num w:numId="14">
    <w:abstractNumId w:val="12"/>
  </w:num>
  <w:num w:numId="15">
    <w:abstractNumId w:val="8"/>
  </w:num>
  <w:num w:numId="16">
    <w:abstractNumId w:val="1"/>
  </w:num>
  <w:num w:numId="17">
    <w:abstractNumId w:val="22"/>
  </w:num>
  <w:num w:numId="18">
    <w:abstractNumId w:val="19"/>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8B"/>
    <w:rsid w:val="0007100C"/>
    <w:rsid w:val="000F7B8B"/>
    <w:rsid w:val="0013382A"/>
    <w:rsid w:val="001859E6"/>
    <w:rsid w:val="001F4757"/>
    <w:rsid w:val="00283CAB"/>
    <w:rsid w:val="002A4BE5"/>
    <w:rsid w:val="00484B95"/>
    <w:rsid w:val="00531512"/>
    <w:rsid w:val="00616E76"/>
    <w:rsid w:val="006E6917"/>
    <w:rsid w:val="00816B95"/>
    <w:rsid w:val="008202EC"/>
    <w:rsid w:val="008A39C3"/>
    <w:rsid w:val="009279A7"/>
    <w:rsid w:val="00993D40"/>
    <w:rsid w:val="0099535B"/>
    <w:rsid w:val="00B5376E"/>
    <w:rsid w:val="00C31C80"/>
    <w:rsid w:val="00C50231"/>
    <w:rsid w:val="00C6526B"/>
    <w:rsid w:val="00DC7F37"/>
    <w:rsid w:val="00ED3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B2EF7-80D0-4C82-A40C-4E287A03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 Normální"/>
    <w:qFormat/>
    <w:rsid w:val="000F7B8B"/>
    <w:pPr>
      <w:spacing w:after="120"/>
      <w:jc w:val="both"/>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0F7B8B"/>
    <w:pPr>
      <w:tabs>
        <w:tab w:val="center" w:pos="4536"/>
        <w:tab w:val="right" w:pos="9072"/>
      </w:tabs>
    </w:pPr>
  </w:style>
  <w:style w:type="character" w:customStyle="1" w:styleId="ZhlavChar">
    <w:name w:val="Záhlaví Char"/>
    <w:aliases w:val="hdr Char"/>
    <w:basedOn w:val="Standardnpsmoodstavce"/>
    <w:link w:val="Zhlav"/>
    <w:rsid w:val="000F7B8B"/>
    <w:rPr>
      <w:lang w:eastAsia="cs-CZ"/>
    </w:rPr>
  </w:style>
  <w:style w:type="paragraph" w:styleId="Odstavecseseznamem">
    <w:name w:val="List Paragraph"/>
    <w:aliases w:val="Odstavec_muj,Nad,List Paragraph"/>
    <w:basedOn w:val="Normln"/>
    <w:link w:val="OdstavecseseznamemChar"/>
    <w:uiPriority w:val="34"/>
    <w:qFormat/>
    <w:rsid w:val="000F7B8B"/>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0F7B8B"/>
    <w:rPr>
      <w:lang w:eastAsia="cs-CZ"/>
    </w:rPr>
  </w:style>
  <w:style w:type="paragraph" w:styleId="Zkladntext">
    <w:name w:val="Body Text"/>
    <w:basedOn w:val="Normln"/>
    <w:link w:val="ZkladntextChar"/>
    <w:rsid w:val="000F7B8B"/>
    <w:rPr>
      <w:sz w:val="24"/>
      <w:szCs w:val="24"/>
    </w:rPr>
  </w:style>
  <w:style w:type="character" w:customStyle="1" w:styleId="ZkladntextChar">
    <w:name w:val="Základní text Char"/>
    <w:basedOn w:val="Standardnpsmoodstavce"/>
    <w:link w:val="Zkladntext"/>
    <w:rsid w:val="000F7B8B"/>
    <w:rPr>
      <w:sz w:val="24"/>
      <w:szCs w:val="24"/>
      <w:lang w:eastAsia="cs-CZ"/>
    </w:rPr>
  </w:style>
  <w:style w:type="character" w:styleId="Hypertextovodkaz">
    <w:name w:val="Hyperlink"/>
    <w:basedOn w:val="Standardnpsmoodstavce"/>
    <w:uiPriority w:val="99"/>
    <w:rsid w:val="000F7B8B"/>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0F7B8B"/>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0F7B8B"/>
    <w:rPr>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0F7B8B"/>
    <w:rPr>
      <w:vertAlign w:val="superscript"/>
    </w:rPr>
  </w:style>
  <w:style w:type="paragraph" w:customStyle="1" w:styleId="xl90">
    <w:name w:val="xl90"/>
    <w:basedOn w:val="Normln"/>
    <w:rsid w:val="000F7B8B"/>
    <w:pPr>
      <w:pBdr>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styleId="slovanseznam">
    <w:name w:val="List Number"/>
    <w:basedOn w:val="Normln"/>
    <w:rsid w:val="000F7B8B"/>
    <w:rPr>
      <w:rFonts w:cs="Arial"/>
      <w:sz w:val="24"/>
      <w:szCs w:val="24"/>
    </w:rPr>
  </w:style>
  <w:style w:type="paragraph" w:customStyle="1" w:styleId="N1">
    <w:name w:val="N1"/>
    <w:next w:val="Normln"/>
    <w:rsid w:val="000F7B8B"/>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0F7B8B"/>
    <w:rPr>
      <w:rFonts w:ascii="Times New Roman" w:hAnsi="Times New Roman"/>
      <w:sz w:val="24"/>
    </w:rPr>
  </w:style>
  <w:style w:type="paragraph" w:styleId="Textbubliny">
    <w:name w:val="Balloon Text"/>
    <w:basedOn w:val="Normln"/>
    <w:link w:val="TextbublinyChar"/>
    <w:uiPriority w:val="99"/>
    <w:semiHidden/>
    <w:unhideWhenUsed/>
    <w:rsid w:val="009953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535B"/>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25F8-812B-47F3-8EE4-A36A34D0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4831</Words>
  <Characters>28504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Houda</dc:creator>
  <cp:lastModifiedBy>HOUDA Ondřej, Mgr.</cp:lastModifiedBy>
  <cp:revision>5</cp:revision>
  <dcterms:created xsi:type="dcterms:W3CDTF">2019-08-29T08:00:00Z</dcterms:created>
  <dcterms:modified xsi:type="dcterms:W3CDTF">2020-08-06T08:59:00Z</dcterms:modified>
</cp:coreProperties>
</file>