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53" w:rsidRDefault="00911E53" w:rsidP="00146A0F">
      <w:pPr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CD1912" w:rsidTr="00CD1912">
        <w:trPr>
          <w:trHeight w:val="464"/>
        </w:trPr>
        <w:tc>
          <w:tcPr>
            <w:tcW w:w="0" w:type="auto"/>
            <w:hideMark/>
          </w:tcPr>
          <w:p w:rsidR="00CD1912" w:rsidRDefault="00CD1912" w:rsidP="00CD1912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4QISQ9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MVCRX04QISQ9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CD1912" w:rsidTr="00CD1912">
        <w:trPr>
          <w:trHeight w:val="114"/>
        </w:trPr>
        <w:tc>
          <w:tcPr>
            <w:tcW w:w="0" w:type="auto"/>
            <w:hideMark/>
          </w:tcPr>
          <w:p w:rsidR="00CD1912" w:rsidRDefault="00CD1912" w:rsidP="00CD19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4QISQ9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MVCRX04QISQ9</w:t>
            </w:r>
            <w:r>
              <w:fldChar w:fldCharType="end"/>
            </w:r>
            <w:bookmarkEnd w:id="1"/>
          </w:p>
        </w:tc>
      </w:tr>
      <w:tr w:rsidR="00CD1912" w:rsidTr="00CD1912">
        <w:trPr>
          <w:trHeight w:val="122"/>
        </w:trPr>
        <w:tc>
          <w:tcPr>
            <w:tcW w:w="0" w:type="auto"/>
            <w:hideMark/>
          </w:tcPr>
          <w:p w:rsidR="00CD1912" w:rsidRDefault="00CD1912" w:rsidP="00CD1912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273AB0" w:rsidRDefault="00273AB0" w:rsidP="00273AB0">
      <w:pPr>
        <w:spacing w:after="0"/>
        <w:rPr>
          <w:rFonts w:ascii="Times New Roman" w:eastAsia="Times New Roman" w:hAnsi="Times New Roman"/>
        </w:rPr>
      </w:pPr>
    </w:p>
    <w:p w:rsidR="008704EC" w:rsidRDefault="008704EC" w:rsidP="00273AB0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146A0F" w:rsidTr="00146A0F">
        <w:tc>
          <w:tcPr>
            <w:tcW w:w="0" w:type="auto"/>
            <w:hideMark/>
          </w:tcPr>
          <w:p w:rsidR="00146A0F" w:rsidRDefault="00146A0F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  <w:p w:rsidR="00911E53" w:rsidRDefault="00911E53">
            <w:pPr>
              <w:rPr>
                <w:sz w:val="24"/>
                <w:szCs w:val="24"/>
              </w:rPr>
            </w:pPr>
          </w:p>
        </w:tc>
      </w:tr>
    </w:tbl>
    <w:p w:rsidR="00635249" w:rsidRDefault="00635249" w:rsidP="00635249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911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D24C8">
        <w:rPr>
          <w:rFonts w:ascii="Arial" w:hAnsi="Arial" w:cs="Arial"/>
          <w:b/>
          <w:sz w:val="24"/>
          <w:szCs w:val="24"/>
        </w:rPr>
        <w:t>rada/ministerský rada</w:t>
      </w:r>
    </w:p>
    <w:p w:rsidR="0057691E" w:rsidRDefault="00BC18F3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DF667B">
        <w:rPr>
          <w:rFonts w:ascii="Arial" w:hAnsi="Arial" w:cs="Arial"/>
          <w:b/>
          <w:sz w:val="24"/>
          <w:szCs w:val="24"/>
        </w:rPr>
        <w:t xml:space="preserve">pobytového správního řízení Praha </w:t>
      </w:r>
      <w:r w:rsidR="008E416D">
        <w:rPr>
          <w:rFonts w:ascii="Arial" w:hAnsi="Arial" w:cs="Arial"/>
          <w:b/>
          <w:sz w:val="24"/>
          <w:szCs w:val="24"/>
        </w:rPr>
        <w:t>I</w:t>
      </w:r>
      <w:r w:rsidR="00DF667B">
        <w:rPr>
          <w:rFonts w:ascii="Arial" w:hAnsi="Arial" w:cs="Arial"/>
          <w:b/>
          <w:sz w:val="24"/>
          <w:szCs w:val="24"/>
        </w:rPr>
        <w:t>V.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76ED4" w:rsidRPr="005C1B13">
        <w:rPr>
          <w:rFonts w:ascii="Arial" w:hAnsi="Arial" w:cs="Arial"/>
        </w:rPr>
        <w:t>Č.j.</w:t>
      </w:r>
      <w:r w:rsidR="00F94ECD" w:rsidRPr="005C1B13">
        <w:rPr>
          <w:rFonts w:ascii="Arial" w:hAnsi="Arial" w:cs="Arial"/>
        </w:rPr>
        <w:t>:</w:t>
      </w:r>
      <w:r w:rsidR="00276ED4" w:rsidRPr="005C1B13">
        <w:rPr>
          <w:rFonts w:ascii="Arial" w:hAnsi="Arial" w:cs="Arial"/>
        </w:rPr>
        <w:t xml:space="preserve"> </w:t>
      </w:r>
      <w:r w:rsidR="009D16A9" w:rsidRPr="00CD1912">
        <w:rPr>
          <w:rFonts w:ascii="Arial" w:hAnsi="Arial" w:cs="Arial"/>
        </w:rPr>
        <w:t>MV-</w:t>
      </w:r>
      <w:r w:rsidR="00CD1912" w:rsidRPr="00CD1912">
        <w:rPr>
          <w:rFonts w:ascii="Arial" w:hAnsi="Arial" w:cs="Arial"/>
        </w:rPr>
        <w:t>160713</w:t>
      </w:r>
      <w:r w:rsidR="00AB7FFE" w:rsidRPr="00CD1912">
        <w:rPr>
          <w:rFonts w:ascii="Arial" w:hAnsi="Arial" w:cs="Arial"/>
        </w:rPr>
        <w:t>-</w:t>
      </w:r>
      <w:r w:rsidR="00635249" w:rsidRPr="00CD1912">
        <w:rPr>
          <w:rFonts w:ascii="Arial" w:hAnsi="Arial" w:cs="Arial"/>
        </w:rPr>
        <w:t>3</w:t>
      </w:r>
      <w:r w:rsidR="00B02CD2" w:rsidRPr="00CD1912">
        <w:rPr>
          <w:rFonts w:ascii="Arial" w:hAnsi="Arial" w:cs="Arial"/>
        </w:rPr>
        <w:t>/</w:t>
      </w:r>
      <w:r w:rsidRPr="00CD1912">
        <w:rPr>
          <w:rFonts w:ascii="Arial" w:hAnsi="Arial" w:cs="Arial"/>
        </w:rPr>
        <w:t>SP-201</w:t>
      </w:r>
      <w:r w:rsidR="00B3674E" w:rsidRPr="00CD1912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3E4717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DF667B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DF667B">
        <w:rPr>
          <w:rFonts w:ascii="Arial" w:hAnsi="Arial" w:cs="Arial"/>
        </w:rPr>
        <w:t>listopadu</w:t>
      </w:r>
      <w:r w:rsidR="000674B7" w:rsidRPr="00635249">
        <w:rPr>
          <w:rFonts w:ascii="Arial" w:hAnsi="Arial" w:cs="Arial"/>
        </w:rPr>
        <w:t xml:space="preserve">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2D24C8">
        <w:rPr>
          <w:rFonts w:ascii="Arial" w:hAnsi="Arial" w:cs="Arial"/>
          <w:b/>
        </w:rPr>
        <w:t>rady/ministerského rady</w:t>
      </w:r>
      <w:r w:rsidRPr="00635249">
        <w:rPr>
          <w:rFonts w:ascii="Arial" w:hAnsi="Arial" w:cs="Arial"/>
          <w:b/>
        </w:rPr>
        <w:t xml:space="preserve"> v oddělení </w:t>
      </w:r>
      <w:r w:rsidR="00DF667B">
        <w:rPr>
          <w:rFonts w:ascii="Arial" w:hAnsi="Arial" w:cs="Arial"/>
          <w:b/>
        </w:rPr>
        <w:t xml:space="preserve">pobytového správního řízení Praha </w:t>
      </w:r>
      <w:r w:rsidR="008E416D">
        <w:rPr>
          <w:rFonts w:ascii="Arial" w:hAnsi="Arial" w:cs="Arial"/>
          <w:b/>
        </w:rPr>
        <w:t>I</w:t>
      </w:r>
      <w:r w:rsidR="00DF667B">
        <w:rPr>
          <w:rFonts w:ascii="Arial" w:hAnsi="Arial" w:cs="Arial"/>
          <w:b/>
        </w:rPr>
        <w:t>V.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8E416D">
        <w:rPr>
          <w:rFonts w:ascii="Arial" w:hAnsi="Arial" w:cs="Arial"/>
          <w:b/>
        </w:rPr>
        <w:t>17004923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EB3537" w:rsidRPr="00635249" w:rsidRDefault="001D718F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 w:rsidRPr="00635249">
        <w:rPr>
          <w:rFonts w:ascii="Arial" w:hAnsi="Arial" w:cs="Arial"/>
          <w:i/>
        </w:rPr>
        <w:t>24</w:t>
      </w:r>
      <w:r w:rsidR="00EB3537" w:rsidRPr="00635249">
        <w:rPr>
          <w:rFonts w:ascii="Arial" w:hAnsi="Arial" w:cs="Arial"/>
          <w:i/>
        </w:rPr>
        <w:t xml:space="preserve">. </w:t>
      </w:r>
      <w:r w:rsidR="00B02CD2" w:rsidRPr="00635249">
        <w:rPr>
          <w:rFonts w:ascii="Arial" w:hAnsi="Arial" w:cs="Arial"/>
          <w:i/>
        </w:rPr>
        <w:t>Vnitřní pořádek a bezpečnost státu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DF667B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DF667B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DF667B" w:rsidRPr="00DF667B">
        <w:rPr>
          <w:rFonts w:ascii="Arial" w:hAnsi="Arial" w:cs="Arial"/>
          <w:b/>
        </w:rPr>
        <w:t>ne</w:t>
      </w:r>
      <w:r w:rsidRPr="00DF667B">
        <w:rPr>
          <w:rFonts w:ascii="Arial" w:hAnsi="Arial" w:cs="Arial"/>
          <w:b/>
        </w:rPr>
        <w:t>ur</w:t>
      </w:r>
      <w:r w:rsidRPr="00635249">
        <w:rPr>
          <w:rFonts w:ascii="Arial" w:hAnsi="Arial" w:cs="Arial"/>
          <w:b/>
        </w:rPr>
        <w:t>čitou</w:t>
      </w:r>
      <w:r w:rsidR="00DF667B">
        <w:rPr>
          <w:rFonts w:ascii="Arial" w:hAnsi="Arial" w:cs="Arial"/>
          <w:b/>
        </w:rPr>
        <w:t>.</w:t>
      </w:r>
    </w:p>
    <w:p w:rsidR="00C0487A" w:rsidRPr="00DF667B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DF667B">
        <w:rPr>
          <w:rFonts w:ascii="Arial" w:hAnsi="Arial" w:cs="Arial"/>
          <w:b/>
        </w:rPr>
        <w:t>leden 2020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2D24C8">
        <w:rPr>
          <w:rFonts w:ascii="Arial" w:hAnsi="Arial" w:cs="Arial"/>
          <w:b/>
        </w:rPr>
        <w:t>12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DF667B">
        <w:rPr>
          <w:rFonts w:ascii="Arial" w:hAnsi="Arial" w:cs="Arial"/>
        </w:rPr>
        <w:t>vedení pobytového správního řízení, příprava podkladů pro vydání rozhodnutí, další s tím spojená administrativní činnost, vhodné i pro absolventy</w:t>
      </w:r>
      <w:r w:rsidR="00BC18F3">
        <w:rPr>
          <w:rFonts w:ascii="Arial" w:hAnsi="Arial" w:cs="Arial"/>
        </w:rPr>
        <w:t>.</w:t>
      </w:r>
      <w:r w:rsidR="00D34DC1" w:rsidRPr="00635249">
        <w:rPr>
          <w:rFonts w:ascii="Arial" w:hAnsi="Arial" w:cs="Arial"/>
        </w:rPr>
        <w:t xml:space="preserve"> </w:t>
      </w:r>
      <w:r w:rsidR="00DF667B">
        <w:rPr>
          <w:rFonts w:ascii="Arial" w:hAnsi="Arial" w:cs="Arial"/>
        </w:rPr>
        <w:t>Uživatelská</w:t>
      </w:r>
      <w:r w:rsidR="0070558A" w:rsidRPr="00635249">
        <w:rPr>
          <w:rFonts w:ascii="Arial" w:hAnsi="Arial" w:cs="Arial"/>
        </w:rPr>
        <w:t xml:space="preserve"> znalost MS OFFICE </w:t>
      </w:r>
      <w:r w:rsidR="00BC18F3">
        <w:rPr>
          <w:rFonts w:ascii="Arial" w:hAnsi="Arial" w:cs="Arial"/>
        </w:rPr>
        <w:t xml:space="preserve">a ASPI </w:t>
      </w:r>
      <w:r w:rsidR="0070558A" w:rsidRPr="00635249">
        <w:rPr>
          <w:rFonts w:ascii="Arial" w:hAnsi="Arial" w:cs="Arial"/>
        </w:rPr>
        <w:t>je výhodou.</w:t>
      </w:r>
      <w:r w:rsidR="00DF667B">
        <w:rPr>
          <w:rFonts w:ascii="Arial" w:hAnsi="Arial" w:cs="Arial"/>
        </w:rPr>
        <w:t xml:space="preserve"> </w:t>
      </w:r>
      <w:r w:rsidR="00DF667B">
        <w:rPr>
          <w:rFonts w:ascii="Arial" w:hAnsi="Arial" w:cs="Arial"/>
        </w:rPr>
        <w:br/>
      </w:r>
      <w:r w:rsidR="00DF667B" w:rsidRPr="00635249">
        <w:rPr>
          <w:rFonts w:ascii="Arial" w:hAnsi="Arial" w:cs="Arial"/>
        </w:rPr>
        <w:t xml:space="preserve">Na služebním místě je stanoven </w:t>
      </w:r>
      <w:r w:rsidR="00DF667B" w:rsidRPr="00635249">
        <w:rPr>
          <w:rFonts w:ascii="Arial" w:hAnsi="Arial" w:cs="Arial"/>
          <w:b/>
        </w:rPr>
        <w:t>zvláštní příplatek</w:t>
      </w:r>
      <w:r w:rsidR="00DF667B" w:rsidRPr="00635249">
        <w:rPr>
          <w:rFonts w:ascii="Arial" w:hAnsi="Arial" w:cs="Arial"/>
        </w:rPr>
        <w:t xml:space="preserve"> podle nařízení vlády č. 304/2014 Sb., </w:t>
      </w:r>
      <w:r w:rsidR="00DF667B">
        <w:rPr>
          <w:rFonts w:ascii="Arial" w:hAnsi="Arial" w:cs="Arial"/>
        </w:rPr>
        <w:br/>
      </w:r>
      <w:r w:rsidR="00DF667B" w:rsidRPr="00635249">
        <w:rPr>
          <w:rFonts w:ascii="Arial" w:hAnsi="Arial" w:cs="Arial"/>
        </w:rPr>
        <w:t>o platových poměrech státních zaměstnanců.</w:t>
      </w:r>
      <w:r w:rsidR="0070558A" w:rsidRPr="00635249">
        <w:rPr>
          <w:rFonts w:ascii="Arial" w:hAnsi="Arial" w:cs="Arial"/>
        </w:rPr>
        <w:t xml:space="preserve"> </w:t>
      </w:r>
      <w:r w:rsidR="00BC18F3">
        <w:rPr>
          <w:rFonts w:ascii="Arial" w:hAnsi="Arial" w:cs="Arial"/>
        </w:rPr>
        <w:t>Služební místo je</w:t>
      </w:r>
      <w:r w:rsidR="0070558A" w:rsidRPr="00635249">
        <w:rPr>
          <w:rFonts w:ascii="Arial" w:hAnsi="Arial" w:cs="Arial"/>
        </w:rPr>
        <w:t xml:space="preserve"> vhodné </w:t>
      </w:r>
      <w:r w:rsidR="00BC18F3">
        <w:rPr>
          <w:rFonts w:ascii="Arial" w:hAnsi="Arial" w:cs="Arial"/>
        </w:rPr>
        <w:t xml:space="preserve">i </w:t>
      </w:r>
      <w:r w:rsidR="0070558A" w:rsidRPr="00635249">
        <w:rPr>
          <w:rFonts w:ascii="Arial" w:hAnsi="Arial" w:cs="Arial"/>
        </w:rPr>
        <w:t xml:space="preserve">pro OZZ/OZP.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DF667B">
        <w:rPr>
          <w:rFonts w:ascii="Arial" w:hAnsi="Arial" w:cs="Arial"/>
          <w:b/>
        </w:rPr>
        <w:t>10</w:t>
      </w:r>
      <w:r w:rsidR="00205BF7" w:rsidRPr="00635249">
        <w:rPr>
          <w:rFonts w:ascii="Arial" w:hAnsi="Arial" w:cs="Arial"/>
          <w:b/>
        </w:rPr>
        <w:t xml:space="preserve">. </w:t>
      </w:r>
      <w:r w:rsidR="00DF667B">
        <w:rPr>
          <w:rFonts w:ascii="Arial" w:hAnsi="Arial" w:cs="Arial"/>
          <w:b/>
        </w:rPr>
        <w:t>prosince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lastRenderedPageBreak/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CD1912" w:rsidRDefault="00276ED4" w:rsidP="002F75D4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a slovy „Výběrové řízení na služební místo </w:t>
      </w:r>
      <w:r w:rsidR="00EA5CC7">
        <w:rPr>
          <w:rFonts w:ascii="Arial" w:hAnsi="Arial" w:cs="Arial"/>
          <w:b/>
        </w:rPr>
        <w:t>rady/ministerského rady</w:t>
      </w:r>
      <w:r w:rsidR="00312A72" w:rsidRPr="00635249">
        <w:rPr>
          <w:rFonts w:ascii="Arial" w:hAnsi="Arial" w:cs="Arial"/>
          <w:b/>
        </w:rPr>
        <w:t xml:space="preserve"> v</w:t>
      </w:r>
      <w:r w:rsidR="00DF667B">
        <w:rPr>
          <w:rFonts w:ascii="Arial" w:hAnsi="Arial" w:cs="Arial"/>
          <w:b/>
        </w:rPr>
        <w:t xml:space="preserve"> oddělení pobytového správního řízení Praha </w:t>
      </w:r>
      <w:r w:rsidR="008E416D">
        <w:rPr>
          <w:rFonts w:ascii="Arial" w:hAnsi="Arial" w:cs="Arial"/>
          <w:b/>
        </w:rPr>
        <w:t>I</w:t>
      </w:r>
      <w:r w:rsidR="00DF667B">
        <w:rPr>
          <w:rFonts w:ascii="Arial" w:hAnsi="Arial" w:cs="Arial"/>
          <w:b/>
        </w:rPr>
        <w:t>V.</w:t>
      </w:r>
      <w:r w:rsidR="003A29AF" w:rsidRPr="00635249">
        <w:rPr>
          <w:rFonts w:ascii="Arial" w:hAnsi="Arial" w:cs="Arial"/>
          <w:b/>
        </w:rPr>
        <w:t>,</w:t>
      </w:r>
      <w:r w:rsidR="00B02CD2" w:rsidRPr="00635249">
        <w:rPr>
          <w:rFonts w:ascii="Arial" w:hAnsi="Arial" w:cs="Arial"/>
          <w:b/>
        </w:rPr>
        <w:t xml:space="preserve"> odboru azylové</w:t>
      </w:r>
      <w:r w:rsidR="008D09F0" w:rsidRPr="00635249">
        <w:rPr>
          <w:rFonts w:ascii="Arial" w:hAnsi="Arial" w:cs="Arial"/>
          <w:b/>
        </w:rPr>
        <w:t xml:space="preserve"> </w:t>
      </w:r>
      <w:r w:rsidR="00B02CD2" w:rsidRPr="00635249">
        <w:rPr>
          <w:rFonts w:ascii="Arial" w:hAnsi="Arial" w:cs="Arial"/>
          <w:b/>
        </w:rPr>
        <w:t>a migrační politiky</w:t>
      </w:r>
      <w:r w:rsidR="00312A72" w:rsidRPr="00635249">
        <w:rPr>
          <w:rFonts w:ascii="Arial" w:hAnsi="Arial" w:cs="Arial"/>
          <w:b/>
        </w:rPr>
        <w:t>,</w:t>
      </w:r>
      <w:r w:rsidR="007B236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 xml:space="preserve">ID </w:t>
      </w:r>
      <w:r w:rsidR="008E416D">
        <w:rPr>
          <w:rFonts w:ascii="Arial" w:hAnsi="Arial" w:cs="Arial"/>
          <w:b/>
        </w:rPr>
        <w:t>17004923</w:t>
      </w:r>
      <w:r w:rsidR="0042482E"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>č.j</w:t>
      </w:r>
      <w:r w:rsidR="00312A72" w:rsidRPr="00B34B95">
        <w:rPr>
          <w:rFonts w:ascii="Arial" w:hAnsi="Arial" w:cs="Arial"/>
          <w:b/>
        </w:rPr>
        <w:t xml:space="preserve">.: </w:t>
      </w:r>
      <w:r w:rsidR="00312A72" w:rsidRPr="00CD1912">
        <w:rPr>
          <w:rFonts w:ascii="Arial" w:hAnsi="Arial" w:cs="Arial"/>
          <w:b/>
        </w:rPr>
        <w:t>MV-</w:t>
      </w:r>
      <w:r w:rsidR="00CD1912" w:rsidRPr="00CD1912">
        <w:rPr>
          <w:rFonts w:ascii="Arial" w:hAnsi="Arial" w:cs="Arial"/>
          <w:b/>
        </w:rPr>
        <w:t>160713</w:t>
      </w:r>
      <w:r w:rsidR="00AE6214" w:rsidRPr="00CD1912">
        <w:rPr>
          <w:rFonts w:ascii="Arial" w:hAnsi="Arial" w:cs="Arial"/>
          <w:b/>
        </w:rPr>
        <w:t>-</w:t>
      </w:r>
      <w:r w:rsidR="00635249" w:rsidRPr="00CD1912">
        <w:rPr>
          <w:rFonts w:ascii="Arial" w:hAnsi="Arial" w:cs="Arial"/>
          <w:b/>
        </w:rPr>
        <w:t>3</w:t>
      </w:r>
      <w:r w:rsidR="00312A72" w:rsidRPr="00CD1912">
        <w:rPr>
          <w:rFonts w:ascii="Arial" w:hAnsi="Arial" w:cs="Arial"/>
          <w:b/>
        </w:rPr>
        <w:t>/SP-201</w:t>
      </w:r>
      <w:r w:rsidR="00B3674E" w:rsidRPr="00CD1912">
        <w:rPr>
          <w:rFonts w:ascii="Arial" w:hAnsi="Arial" w:cs="Arial"/>
          <w:b/>
        </w:rPr>
        <w:t>9</w:t>
      </w:r>
      <w:r w:rsidRPr="00CD1912">
        <w:rPr>
          <w:rFonts w:ascii="Arial" w:hAnsi="Arial" w:cs="Arial"/>
          <w:b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/ka</w:t>
      </w:r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2D24C8" w:rsidRDefault="00276ED4" w:rsidP="002D24C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D24C8"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</w:t>
      </w:r>
      <w:r w:rsidR="00B51319">
        <w:rPr>
          <w:rFonts w:ascii="Arial" w:hAnsi="Arial" w:cs="Arial"/>
          <w:color w:val="000000" w:themeColor="text1"/>
        </w:rPr>
        <w:br/>
      </w:r>
      <w:r w:rsidR="00BE0997" w:rsidRPr="00980A06">
        <w:rPr>
          <w:rFonts w:ascii="Arial" w:hAnsi="Arial" w:cs="Arial"/>
          <w:color w:val="000000" w:themeColor="text1"/>
        </w:rPr>
        <w:t>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/ka</w:t>
      </w:r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BC18F3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/ka</w:t>
      </w:r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AE6214">
        <w:rPr>
          <w:rFonts w:ascii="Arial" w:hAnsi="Arial" w:cs="Arial"/>
          <w:color w:val="000000" w:themeColor="text1"/>
        </w:rPr>
        <w:t>vysokoškolské vzdělání v bakalářském nebo magisterském 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BC18F3" w:rsidRPr="00A66E10" w:rsidRDefault="00BC18F3" w:rsidP="00BC18F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66E10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</w:t>
      </w:r>
      <w:r w:rsidR="004B13A7">
        <w:rPr>
          <w:rFonts w:ascii="Arial" w:hAnsi="Arial" w:cs="Arial"/>
        </w:rPr>
        <w:t>níka v Ministerstvu vnitra č. 37</w:t>
      </w:r>
      <w:bookmarkStart w:id="2" w:name="_GoBack"/>
      <w:bookmarkEnd w:id="2"/>
      <w:r w:rsidRPr="00A66E10">
        <w:rPr>
          <w:rFonts w:ascii="Arial" w:hAnsi="Arial" w:cs="Arial"/>
        </w:rPr>
        <w:t>/2019,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A66E10">
        <w:rPr>
          <w:rFonts w:ascii="Arial" w:hAnsi="Arial" w:cs="Arial"/>
          <w:b/>
        </w:rPr>
        <w:t>Vyhrazené</w:t>
      </w:r>
      <w:r w:rsidRPr="00A66E10">
        <w:rPr>
          <w:rFonts w:ascii="Arial" w:hAnsi="Arial" w:cs="Arial"/>
        </w:rPr>
        <w:t xml:space="preserve">“ </w:t>
      </w:r>
      <w:r w:rsidRPr="00A66E10">
        <w:rPr>
          <w:rFonts w:ascii="Arial" w:hAnsi="Arial" w:cs="Arial"/>
        </w:rPr>
        <w:br/>
        <w:t xml:space="preserve">v souladu se zákonem č. 412/2005 Sb., o ochraně utajovaných informací </w:t>
      </w:r>
      <w:r w:rsidRPr="00A66E10">
        <w:rPr>
          <w:rFonts w:ascii="Arial" w:hAnsi="Arial" w:cs="Arial"/>
        </w:rPr>
        <w:br/>
        <w:t>a o bezpečnostní způsobilosti, ve znění pozdějších předpisů;</w:t>
      </w:r>
    </w:p>
    <w:p w:rsidR="00330A51" w:rsidRPr="00BC18F3" w:rsidRDefault="00BC18F3" w:rsidP="00BC18F3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DF667B" w:rsidRDefault="00DF667B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DF667B" w:rsidRDefault="00DF667B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DF667B" w:rsidRDefault="00DF667B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DF667B" w:rsidRDefault="00DF667B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BC18F3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B51319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DF667B" w:rsidRDefault="00DF667B" w:rsidP="00DF667B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330A51" w:rsidRPr="00BC18F3" w:rsidRDefault="00A3319D" w:rsidP="00DF667B">
      <w:pPr>
        <w:spacing w:after="0" w:line="360" w:lineRule="auto"/>
        <w:contextualSpacing/>
        <w:jc w:val="both"/>
        <w:rPr>
          <w:color w:val="000000" w:themeColor="text1"/>
        </w:rPr>
      </w:pPr>
      <w:r w:rsidRPr="00BC18F3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Default="007708C6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7708C6" w:rsidRPr="00205BF7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>
        <w:rPr>
          <w:rFonts w:ascii="Arial" w:hAnsi="Arial" w:cs="Arial"/>
          <w:color w:val="000000" w:themeColor="text1"/>
        </w:rPr>
        <w:t> 832 502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7708C6" w:rsidRPr="00827983">
          <w:rPr>
            <w:rStyle w:val="Hypertextovodkaz"/>
            <w:rFonts w:ascii="Arial" w:hAnsi="Arial" w:cs="Arial"/>
          </w:rPr>
          <w:t>romana.lindovska@mvcr.cz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330A51" w:rsidRPr="00635249" w:rsidRDefault="00330A51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DF72C8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Bc. Renata Štěpánková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DF72C8">
        <w:rPr>
          <w:rFonts w:ascii="Arial" w:hAnsi="Arial" w:cs="Arial"/>
          <w:color w:val="000000" w:themeColor="text1"/>
        </w:rPr>
        <w:t> 833 297</w:t>
      </w:r>
      <w:r w:rsidRPr="00205BF7">
        <w:rPr>
          <w:rFonts w:ascii="Arial" w:hAnsi="Arial" w:cs="Arial"/>
          <w:color w:val="000000" w:themeColor="text1"/>
        </w:rPr>
        <w:t xml:space="preserve"> 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221D9C" w:rsidRPr="00775FA8">
          <w:rPr>
            <w:rStyle w:val="Hypertextovodkaz"/>
            <w:rFonts w:ascii="Arial" w:hAnsi="Arial" w:cs="Arial"/>
          </w:rPr>
          <w:t>renata.stepankova@mvcr.cz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330A51" w:rsidRPr="00635249" w:rsidRDefault="00330A51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52" w:rsidRDefault="005E0F52" w:rsidP="00276ED4">
      <w:pPr>
        <w:spacing w:after="0" w:line="240" w:lineRule="auto"/>
      </w:pPr>
      <w:r>
        <w:separator/>
      </w:r>
    </w:p>
  </w:endnote>
  <w:end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B13A7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52" w:rsidRDefault="005E0F52" w:rsidP="00276ED4">
      <w:pPr>
        <w:spacing w:after="0" w:line="240" w:lineRule="auto"/>
      </w:pPr>
      <w:r>
        <w:separator/>
      </w:r>
    </w:p>
  </w:footnote>
  <w:foot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1811"/>
    <w:multiLevelType w:val="hybridMultilevel"/>
    <w:tmpl w:val="9822BA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387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6320"/>
    <w:rsid w:val="000E665F"/>
    <w:rsid w:val="000F17FA"/>
    <w:rsid w:val="000F2D84"/>
    <w:rsid w:val="0011464C"/>
    <w:rsid w:val="001219CA"/>
    <w:rsid w:val="00134434"/>
    <w:rsid w:val="00136462"/>
    <w:rsid w:val="00140D4F"/>
    <w:rsid w:val="00144156"/>
    <w:rsid w:val="00146A0F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06EC0"/>
    <w:rsid w:val="00210F0F"/>
    <w:rsid w:val="00220078"/>
    <w:rsid w:val="00221D9C"/>
    <w:rsid w:val="0022346E"/>
    <w:rsid w:val="00227FDB"/>
    <w:rsid w:val="00240188"/>
    <w:rsid w:val="00242E6B"/>
    <w:rsid w:val="00243471"/>
    <w:rsid w:val="00262121"/>
    <w:rsid w:val="00272336"/>
    <w:rsid w:val="0027343F"/>
    <w:rsid w:val="00273AB0"/>
    <w:rsid w:val="00274AE8"/>
    <w:rsid w:val="00276ED4"/>
    <w:rsid w:val="00282115"/>
    <w:rsid w:val="002931A1"/>
    <w:rsid w:val="002B1EA2"/>
    <w:rsid w:val="002B410A"/>
    <w:rsid w:val="002C401B"/>
    <w:rsid w:val="002D24C8"/>
    <w:rsid w:val="002E2A92"/>
    <w:rsid w:val="002F75D4"/>
    <w:rsid w:val="003059FD"/>
    <w:rsid w:val="00312A72"/>
    <w:rsid w:val="00330A51"/>
    <w:rsid w:val="00333471"/>
    <w:rsid w:val="00336923"/>
    <w:rsid w:val="00361737"/>
    <w:rsid w:val="00363007"/>
    <w:rsid w:val="00363AEF"/>
    <w:rsid w:val="00371A9B"/>
    <w:rsid w:val="003A29AF"/>
    <w:rsid w:val="003B1ECF"/>
    <w:rsid w:val="003B692B"/>
    <w:rsid w:val="003D0150"/>
    <w:rsid w:val="003D29E5"/>
    <w:rsid w:val="003D57A9"/>
    <w:rsid w:val="003E4717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13A7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13"/>
    <w:rsid w:val="005C1BF5"/>
    <w:rsid w:val="005C23D9"/>
    <w:rsid w:val="005C4DC4"/>
    <w:rsid w:val="005C671B"/>
    <w:rsid w:val="005D033D"/>
    <w:rsid w:val="005E0F52"/>
    <w:rsid w:val="005E4B5E"/>
    <w:rsid w:val="005E7FC2"/>
    <w:rsid w:val="005F58EA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64A5C"/>
    <w:rsid w:val="006A5B9F"/>
    <w:rsid w:val="006B1532"/>
    <w:rsid w:val="006C0897"/>
    <w:rsid w:val="006C097B"/>
    <w:rsid w:val="006C7AEF"/>
    <w:rsid w:val="006D0359"/>
    <w:rsid w:val="006F282E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B5077"/>
    <w:rsid w:val="007C3B99"/>
    <w:rsid w:val="007C53D7"/>
    <w:rsid w:val="007C72FB"/>
    <w:rsid w:val="007C7E7F"/>
    <w:rsid w:val="007D46FD"/>
    <w:rsid w:val="007E14D2"/>
    <w:rsid w:val="007E4D9B"/>
    <w:rsid w:val="007E5A22"/>
    <w:rsid w:val="007F4F97"/>
    <w:rsid w:val="0080595F"/>
    <w:rsid w:val="00810F90"/>
    <w:rsid w:val="008278D5"/>
    <w:rsid w:val="0084214F"/>
    <w:rsid w:val="00853241"/>
    <w:rsid w:val="0085428E"/>
    <w:rsid w:val="00860641"/>
    <w:rsid w:val="008704EC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416D"/>
    <w:rsid w:val="008E6A0B"/>
    <w:rsid w:val="009043EE"/>
    <w:rsid w:val="009062CC"/>
    <w:rsid w:val="00911E53"/>
    <w:rsid w:val="0092136A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156B8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C73DF"/>
    <w:rsid w:val="00AD4A01"/>
    <w:rsid w:val="00AE6214"/>
    <w:rsid w:val="00AE71FE"/>
    <w:rsid w:val="00B00198"/>
    <w:rsid w:val="00B02CD2"/>
    <w:rsid w:val="00B15912"/>
    <w:rsid w:val="00B16633"/>
    <w:rsid w:val="00B170B6"/>
    <w:rsid w:val="00B228A2"/>
    <w:rsid w:val="00B233FD"/>
    <w:rsid w:val="00B34B95"/>
    <w:rsid w:val="00B3674E"/>
    <w:rsid w:val="00B40505"/>
    <w:rsid w:val="00B4150C"/>
    <w:rsid w:val="00B41DD1"/>
    <w:rsid w:val="00B51319"/>
    <w:rsid w:val="00B63A65"/>
    <w:rsid w:val="00B71AE7"/>
    <w:rsid w:val="00B74273"/>
    <w:rsid w:val="00B95806"/>
    <w:rsid w:val="00BC18F3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95778"/>
    <w:rsid w:val="00CA3E14"/>
    <w:rsid w:val="00CB1067"/>
    <w:rsid w:val="00CB330B"/>
    <w:rsid w:val="00CB4D15"/>
    <w:rsid w:val="00CB6F58"/>
    <w:rsid w:val="00CC34C7"/>
    <w:rsid w:val="00CC35D5"/>
    <w:rsid w:val="00CC584E"/>
    <w:rsid w:val="00CD1912"/>
    <w:rsid w:val="00CE079D"/>
    <w:rsid w:val="00CE652B"/>
    <w:rsid w:val="00D11087"/>
    <w:rsid w:val="00D17FF7"/>
    <w:rsid w:val="00D34DC1"/>
    <w:rsid w:val="00D43324"/>
    <w:rsid w:val="00D4346B"/>
    <w:rsid w:val="00D44A1A"/>
    <w:rsid w:val="00D44EC6"/>
    <w:rsid w:val="00D773F0"/>
    <w:rsid w:val="00D85BE6"/>
    <w:rsid w:val="00D87AF0"/>
    <w:rsid w:val="00D90B62"/>
    <w:rsid w:val="00D915AC"/>
    <w:rsid w:val="00D92211"/>
    <w:rsid w:val="00DA2459"/>
    <w:rsid w:val="00DB5FC2"/>
    <w:rsid w:val="00DC47FE"/>
    <w:rsid w:val="00DD451D"/>
    <w:rsid w:val="00DD494D"/>
    <w:rsid w:val="00DD6777"/>
    <w:rsid w:val="00DE0518"/>
    <w:rsid w:val="00DE317A"/>
    <w:rsid w:val="00DF3DB3"/>
    <w:rsid w:val="00DF667B"/>
    <w:rsid w:val="00DF72C8"/>
    <w:rsid w:val="00E10765"/>
    <w:rsid w:val="00E124F2"/>
    <w:rsid w:val="00E127A8"/>
    <w:rsid w:val="00E35A68"/>
    <w:rsid w:val="00E71FA8"/>
    <w:rsid w:val="00EA5CC7"/>
    <w:rsid w:val="00EB07CA"/>
    <w:rsid w:val="00EB3537"/>
    <w:rsid w:val="00EB5034"/>
    <w:rsid w:val="00EE1577"/>
    <w:rsid w:val="00EE3ECF"/>
    <w:rsid w:val="00EE40B4"/>
    <w:rsid w:val="00F010AC"/>
    <w:rsid w:val="00F040F0"/>
    <w:rsid w:val="00F26BFB"/>
    <w:rsid w:val="00F26DDA"/>
    <w:rsid w:val="00F33781"/>
    <w:rsid w:val="00F43722"/>
    <w:rsid w:val="00F515FA"/>
    <w:rsid w:val="00F626C9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E704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ata.stepank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0186-0A1D-42CE-973D-79AAC01C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1004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4</cp:revision>
  <cp:lastPrinted>2019-10-08T11:09:00Z</cp:lastPrinted>
  <dcterms:created xsi:type="dcterms:W3CDTF">2019-11-16T08:23:00Z</dcterms:created>
  <dcterms:modified xsi:type="dcterms:W3CDTF">2019-11-16T10:19:00Z</dcterms:modified>
</cp:coreProperties>
</file>