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6C0C04">
        <w:rPr>
          <w:rFonts w:ascii="Arial" w:hAnsi="Arial" w:cs="Arial"/>
          <w:b/>
          <w:sz w:val="24"/>
          <w:szCs w:val="24"/>
        </w:rPr>
        <w:t>dokumentační ochrany</w:t>
      </w:r>
      <w:r w:rsidR="005221E0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6C0C04">
        <w:rPr>
          <w:rFonts w:ascii="Arial" w:hAnsi="Arial" w:cs="Arial"/>
          <w:b/>
          <w:sz w:val="24"/>
          <w:szCs w:val="24"/>
        </w:rPr>
        <w:t>bezpečnostním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3A29AF">
        <w:rPr>
          <w:rFonts w:ascii="Arial" w:hAnsi="Arial" w:cs="Arial"/>
        </w:rPr>
        <w:t>1</w:t>
      </w:r>
      <w:r w:rsidR="00480638">
        <w:rPr>
          <w:rFonts w:ascii="Arial" w:hAnsi="Arial" w:cs="Arial"/>
        </w:rPr>
        <w:t>4</w:t>
      </w:r>
      <w:r w:rsidR="006C0C04">
        <w:rPr>
          <w:rFonts w:ascii="Arial" w:hAnsi="Arial" w:cs="Arial"/>
        </w:rPr>
        <w:t>6</w:t>
      </w:r>
      <w:r w:rsidR="00A3698B">
        <w:rPr>
          <w:rFonts w:ascii="Arial" w:hAnsi="Arial" w:cs="Arial"/>
        </w:rPr>
        <w:t>109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SP-2017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Praha </w:t>
      </w:r>
      <w:r w:rsidR="006C0C04">
        <w:rPr>
          <w:rFonts w:ascii="Arial" w:hAnsi="Arial" w:cs="Arial"/>
        </w:rPr>
        <w:t>27</w:t>
      </w:r>
      <w:r w:rsidR="003A29AF">
        <w:rPr>
          <w:rFonts w:ascii="Arial" w:hAnsi="Arial" w:cs="Arial"/>
        </w:rPr>
        <w:t xml:space="preserve">. </w:t>
      </w:r>
      <w:r w:rsidR="00480638">
        <w:rPr>
          <w:rFonts w:ascii="Arial" w:hAnsi="Arial" w:cs="Arial"/>
        </w:rPr>
        <w:t>prosince</w:t>
      </w:r>
      <w:r>
        <w:rPr>
          <w:rFonts w:ascii="Arial" w:hAnsi="Arial" w:cs="Arial"/>
        </w:rPr>
        <w:t xml:space="preserve"> 2017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6C0C04" w:rsidRPr="006C0C04">
        <w:rPr>
          <w:rFonts w:ascii="Arial" w:hAnsi="Arial" w:cs="Arial"/>
          <w:b/>
          <w:color w:val="000000" w:themeColor="text1"/>
        </w:rPr>
        <w:t>dokumentační ochrany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A3698B">
        <w:rPr>
          <w:rFonts w:ascii="Arial" w:hAnsi="Arial" w:cs="Arial"/>
          <w:b/>
          <w:color w:val="000000" w:themeColor="text1"/>
        </w:rPr>
        <w:t>30259926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480638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6C0C04" w:rsidRPr="00EB5034" w:rsidRDefault="006C0C04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75. Ochrana utajovaných informací</w:t>
      </w:r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5221E0" w:rsidRPr="005221E0">
        <w:rPr>
          <w:rFonts w:ascii="Arial" w:hAnsi="Arial" w:cs="Arial"/>
          <w:b/>
          <w:color w:val="000000" w:themeColor="text1"/>
        </w:rPr>
        <w:t>Praha</w:t>
      </w:r>
      <w:r w:rsidR="0057691E" w:rsidRPr="005221E0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na služebním </w:t>
      </w:r>
      <w:r w:rsidR="008C3B5F" w:rsidRPr="00980A06">
        <w:rPr>
          <w:rFonts w:ascii="Arial" w:hAnsi="Arial" w:cs="Arial"/>
          <w:color w:val="000000" w:themeColor="text1"/>
        </w:rPr>
        <w:t>místě</w:t>
      </w:r>
      <w:r w:rsidR="00A63D07" w:rsidRPr="00980A06">
        <w:rPr>
          <w:rFonts w:ascii="Arial" w:hAnsi="Arial" w:cs="Arial"/>
          <w:color w:val="000000" w:themeColor="text1"/>
        </w:rPr>
        <w:t xml:space="preserve">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6C0C04">
        <w:rPr>
          <w:rFonts w:ascii="Arial" w:hAnsi="Arial" w:cs="Arial"/>
          <w:b/>
          <w:color w:val="000000" w:themeColor="text1"/>
        </w:rPr>
        <w:t xml:space="preserve">březen </w:t>
      </w:r>
      <w:r w:rsidR="00BE477C">
        <w:rPr>
          <w:rFonts w:ascii="Arial" w:hAnsi="Arial" w:cs="Arial"/>
          <w:b/>
          <w:color w:val="000000" w:themeColor="text1"/>
        </w:rPr>
        <w:t>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EB7712">
        <w:rPr>
          <w:rFonts w:ascii="Arial" w:hAnsi="Arial" w:cs="Arial"/>
          <w:b/>
          <w:color w:val="000000" w:themeColor="text1"/>
        </w:rPr>
        <w:t>3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6C0C04" w:rsidRDefault="004B2025" w:rsidP="00B21F2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6C0C04" w:rsidRPr="006C0C04">
        <w:rPr>
          <w:rFonts w:ascii="Arial" w:hAnsi="Arial" w:cs="Arial"/>
          <w:color w:val="000000" w:themeColor="text1"/>
        </w:rPr>
        <w:t>působnost v oblasti krycích dokladů,</w:t>
      </w:r>
      <w:r w:rsidR="006C0C04">
        <w:rPr>
          <w:rFonts w:ascii="Arial" w:hAnsi="Arial" w:cs="Arial"/>
          <w:color w:val="000000" w:themeColor="text1"/>
        </w:rPr>
        <w:t xml:space="preserve"> </w:t>
      </w:r>
      <w:r w:rsidR="006C0C04" w:rsidRPr="006C0C04">
        <w:rPr>
          <w:rFonts w:ascii="Arial" w:hAnsi="Arial" w:cs="Arial"/>
          <w:color w:val="000000" w:themeColor="text1"/>
        </w:rPr>
        <w:t xml:space="preserve">zabezpečení ochrany osobních údajů příslušníků </w:t>
      </w:r>
      <w:r w:rsidR="00B21F23">
        <w:rPr>
          <w:rFonts w:ascii="Arial" w:hAnsi="Arial" w:cs="Arial"/>
          <w:color w:val="000000" w:themeColor="text1"/>
        </w:rPr>
        <w:t>bezpečnostních sborů</w:t>
      </w:r>
      <w:r w:rsidR="006C0C04">
        <w:rPr>
          <w:rFonts w:ascii="Arial" w:hAnsi="Arial" w:cs="Arial"/>
          <w:color w:val="000000" w:themeColor="text1"/>
        </w:rPr>
        <w:t xml:space="preserve"> </w:t>
      </w:r>
      <w:r w:rsidR="00B21F23">
        <w:rPr>
          <w:rFonts w:ascii="Arial" w:hAnsi="Arial" w:cs="Arial"/>
          <w:color w:val="000000" w:themeColor="text1"/>
        </w:rPr>
        <w:br/>
      </w:r>
      <w:r w:rsidR="006C0C04" w:rsidRPr="006C0C04">
        <w:rPr>
          <w:rFonts w:ascii="Arial" w:hAnsi="Arial" w:cs="Arial"/>
          <w:color w:val="000000" w:themeColor="text1"/>
        </w:rPr>
        <w:t>a státní správy</w:t>
      </w:r>
      <w:r w:rsidR="00B21F23">
        <w:rPr>
          <w:rFonts w:ascii="Arial" w:hAnsi="Arial" w:cs="Arial"/>
          <w:color w:val="000000" w:themeColor="text1"/>
        </w:rPr>
        <w:t xml:space="preserve">. </w:t>
      </w:r>
      <w:bookmarkStart w:id="0" w:name="_GoBack"/>
      <w:bookmarkEnd w:id="0"/>
      <w:r w:rsidR="00B21F23">
        <w:rPr>
          <w:rFonts w:ascii="Arial" w:hAnsi="Arial" w:cs="Arial"/>
          <w:color w:val="000000" w:themeColor="text1"/>
        </w:rPr>
        <w:t>Z</w:t>
      </w:r>
      <w:r w:rsidR="00B21F23" w:rsidRPr="00B21F23">
        <w:rPr>
          <w:rFonts w:ascii="Arial" w:hAnsi="Arial" w:cs="Arial"/>
          <w:color w:val="000000" w:themeColor="text1"/>
        </w:rPr>
        <w:t>nalost ASPI</w:t>
      </w:r>
      <w:r w:rsidR="00B21F23">
        <w:rPr>
          <w:rFonts w:ascii="Arial" w:hAnsi="Arial" w:cs="Arial"/>
          <w:color w:val="000000" w:themeColor="text1"/>
        </w:rPr>
        <w:t>,</w:t>
      </w:r>
      <w:r w:rsidR="00B21F23" w:rsidRPr="00B21F23">
        <w:rPr>
          <w:rFonts w:ascii="Arial" w:hAnsi="Arial" w:cs="Arial"/>
          <w:color w:val="000000" w:themeColor="text1"/>
        </w:rPr>
        <w:t xml:space="preserve"> </w:t>
      </w:r>
      <w:r w:rsidR="00B21F23">
        <w:rPr>
          <w:rFonts w:ascii="Arial" w:hAnsi="Arial" w:cs="Arial"/>
          <w:color w:val="000000" w:themeColor="text1"/>
        </w:rPr>
        <w:t>o</w:t>
      </w:r>
      <w:r w:rsidR="00B21F23" w:rsidRPr="00B21F23">
        <w:rPr>
          <w:rFonts w:ascii="Arial" w:hAnsi="Arial" w:cs="Arial"/>
          <w:color w:val="000000" w:themeColor="text1"/>
        </w:rPr>
        <w:t>rientace v informačních systémech státní</w:t>
      </w:r>
      <w:r w:rsidR="00B21F23">
        <w:rPr>
          <w:rFonts w:ascii="Arial" w:hAnsi="Arial" w:cs="Arial"/>
          <w:color w:val="000000" w:themeColor="text1"/>
        </w:rPr>
        <w:t xml:space="preserve"> </w:t>
      </w:r>
      <w:r w:rsidR="00B21F23" w:rsidRPr="00B21F23">
        <w:rPr>
          <w:rFonts w:ascii="Arial" w:hAnsi="Arial" w:cs="Arial"/>
          <w:color w:val="000000" w:themeColor="text1"/>
        </w:rPr>
        <w:t>správy, schopnost pracovat na PC s</w:t>
      </w:r>
      <w:r w:rsidR="00B21F23">
        <w:rPr>
          <w:rFonts w:ascii="Arial" w:hAnsi="Arial" w:cs="Arial"/>
          <w:color w:val="000000" w:themeColor="text1"/>
        </w:rPr>
        <w:t> </w:t>
      </w:r>
      <w:r w:rsidR="00B21F23" w:rsidRPr="00B21F23">
        <w:rPr>
          <w:rFonts w:ascii="Arial" w:hAnsi="Arial" w:cs="Arial"/>
          <w:color w:val="000000" w:themeColor="text1"/>
        </w:rPr>
        <w:t>rozšířenými</w:t>
      </w:r>
      <w:r w:rsidR="00B21F23">
        <w:rPr>
          <w:rFonts w:ascii="Arial" w:hAnsi="Arial" w:cs="Arial"/>
          <w:color w:val="000000" w:themeColor="text1"/>
        </w:rPr>
        <w:t xml:space="preserve"> </w:t>
      </w:r>
      <w:r w:rsidR="00B21F23" w:rsidRPr="00B21F23">
        <w:rPr>
          <w:rFonts w:ascii="Arial" w:hAnsi="Arial" w:cs="Arial"/>
          <w:color w:val="000000" w:themeColor="text1"/>
        </w:rPr>
        <w:t>znalostmi včetně základních znalostí síťových</w:t>
      </w:r>
      <w:r w:rsidR="00B21F23">
        <w:rPr>
          <w:rFonts w:ascii="Arial" w:hAnsi="Arial" w:cs="Arial"/>
          <w:color w:val="000000" w:themeColor="text1"/>
        </w:rPr>
        <w:t xml:space="preserve"> aplikací a WEB služeb, řidičský průkaz skupiny B jsou výhodou. Služební místo není vhodné pro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6C0C04">
        <w:rPr>
          <w:rFonts w:ascii="Arial" w:hAnsi="Arial" w:cs="Arial"/>
          <w:b/>
        </w:rPr>
        <w:t>16. ledna</w:t>
      </w:r>
      <w:r w:rsidR="0057691E">
        <w:rPr>
          <w:rFonts w:ascii="Arial" w:hAnsi="Arial" w:cs="Arial"/>
          <w:b/>
        </w:rPr>
        <w:t xml:space="preserve"> 201</w:t>
      </w:r>
      <w:r w:rsidR="006C0C04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výše </w:t>
      </w:r>
      <w:r w:rsidRPr="00380273">
        <w:rPr>
          <w:rFonts w:ascii="Arial" w:hAnsi="Arial" w:cs="Arial"/>
        </w:rPr>
        <w:lastRenderedPageBreak/>
        <w:t>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6C0C04" w:rsidRPr="006C0C04">
        <w:rPr>
          <w:rFonts w:ascii="Arial" w:hAnsi="Arial" w:cs="Arial"/>
          <w:b/>
          <w:color w:val="000000" w:themeColor="text1"/>
        </w:rPr>
        <w:t>dokumentační ochrany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</w:t>
      </w:r>
      <w:r w:rsidR="006C0C04">
        <w:rPr>
          <w:rFonts w:ascii="Arial" w:hAnsi="Arial" w:cs="Arial"/>
          <w:b/>
          <w:color w:val="000000" w:themeColor="text1"/>
        </w:rPr>
        <w:t>bezpečnostním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A3698B">
        <w:rPr>
          <w:rFonts w:ascii="Arial" w:hAnsi="Arial" w:cs="Arial"/>
          <w:b/>
          <w:color w:val="000000" w:themeColor="text1"/>
        </w:rPr>
        <w:t>30259926</w:t>
      </w:r>
      <w:r w:rsidR="00B02CD2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="006C0C04">
        <w:rPr>
          <w:rFonts w:ascii="Arial" w:hAnsi="Arial" w:cs="Arial"/>
          <w:b/>
          <w:color w:val="000000" w:themeColor="text1"/>
        </w:rPr>
        <w:br/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480638">
        <w:rPr>
          <w:rFonts w:ascii="Arial" w:hAnsi="Arial" w:cs="Arial"/>
          <w:b/>
          <w:color w:val="000000" w:themeColor="text1"/>
        </w:rPr>
        <w:t>1</w:t>
      </w:r>
      <w:r w:rsidR="006C0C04">
        <w:rPr>
          <w:rFonts w:ascii="Arial" w:hAnsi="Arial" w:cs="Arial"/>
          <w:b/>
          <w:color w:val="000000" w:themeColor="text1"/>
        </w:rPr>
        <w:t>46</w:t>
      </w:r>
      <w:r w:rsidR="00A3698B">
        <w:rPr>
          <w:rFonts w:ascii="Arial" w:hAnsi="Arial" w:cs="Arial"/>
          <w:b/>
          <w:color w:val="000000" w:themeColor="text1"/>
        </w:rPr>
        <w:t>109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/SP-2017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2F24F7" w:rsidRDefault="002F24F7" w:rsidP="002F24F7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Splňuje </w:t>
      </w:r>
      <w:r w:rsidRPr="00B3266F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Pr="00B3266F">
        <w:rPr>
          <w:rFonts w:ascii="Arial" w:hAnsi="Arial" w:cs="Arial"/>
        </w:rPr>
        <w:br/>
        <w:t xml:space="preserve">pro státní službu a státního tajemníka v Ministerstvu vnitra č. 43/2016, kterým </w:t>
      </w:r>
      <w:r w:rsidRPr="00B3266F">
        <w:rPr>
          <w:rFonts w:ascii="Arial" w:hAnsi="Arial" w:cs="Arial"/>
        </w:rPr>
        <w:br/>
        <w:t xml:space="preserve">se stanoví požadavky na služební a pracovní místa na Ministerstvu vnitra, ve znění pozdějších předpisů, </w:t>
      </w:r>
      <w:r w:rsidRPr="00B3266F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Pr="00B3266F">
        <w:rPr>
          <w:rFonts w:ascii="Arial" w:hAnsi="Arial" w:cs="Arial"/>
          <w:b/>
          <w:color w:val="000000" w:themeColor="text1"/>
        </w:rPr>
        <w:t>„Důvěrné“</w:t>
      </w:r>
      <w:r w:rsidRPr="00B3266F">
        <w:rPr>
          <w:rFonts w:ascii="Arial" w:hAnsi="Arial" w:cs="Arial"/>
          <w:color w:val="000000" w:themeColor="text1"/>
        </w:rPr>
        <w:t xml:space="preserve"> v souladu se zákonem </w:t>
      </w:r>
      <w:r w:rsidRPr="00B3266F">
        <w:rPr>
          <w:rFonts w:ascii="Arial" w:hAnsi="Arial" w:cs="Arial"/>
          <w:color w:val="000000" w:themeColor="text1"/>
        </w:rPr>
        <w:br/>
        <w:t xml:space="preserve">č. 412/2005 Sb., o ochraně utajovaných informací a o bezpečnostní způsobilosti, </w:t>
      </w:r>
      <w:r w:rsidRPr="00B3266F">
        <w:rPr>
          <w:rFonts w:ascii="Arial" w:hAnsi="Arial" w:cs="Arial"/>
          <w:color w:val="000000" w:themeColor="text1"/>
        </w:rPr>
        <w:br/>
        <w:t>ve znění pozdějších předpisů.</w:t>
      </w:r>
      <w:r>
        <w:rPr>
          <w:rFonts w:ascii="Arial" w:hAnsi="Arial" w:cs="Arial"/>
          <w:color w:val="000000" w:themeColor="text1"/>
        </w:rPr>
        <w:t xml:space="preserve"> </w:t>
      </w:r>
    </w:p>
    <w:p w:rsidR="002F24F7" w:rsidRPr="005348F9" w:rsidRDefault="002F24F7" w:rsidP="002F24F7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  <w:color w:val="000000" w:themeColor="text1"/>
        </w:rPr>
        <w:t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akceptováno, pokud žadatel doloží,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 xml:space="preserve">že podal žádost o vydání osvědčení fyzické osoby příslušného stupně utajení </w:t>
      </w:r>
      <w:r w:rsidRPr="005348F9">
        <w:rPr>
          <w:rFonts w:ascii="Arial" w:hAnsi="Arial" w:cs="Arial"/>
        </w:rPr>
        <w:t xml:space="preserve">nejpozději před vydáním Rozhodnutím o přijetí do služebního poměru a zařazení </w:t>
      </w:r>
      <w:r w:rsidRPr="005348F9">
        <w:rPr>
          <w:rFonts w:ascii="Arial" w:hAnsi="Arial" w:cs="Arial"/>
        </w:rPr>
        <w:br/>
        <w:t>na služební místo nebo před vydáním Rozhodnutím o zařazení na služební místo.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2F24F7" w:rsidRPr="002F24F7" w:rsidRDefault="002F24F7" w:rsidP="002F24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F24F7">
        <w:rPr>
          <w:rFonts w:ascii="Arial" w:hAnsi="Arial" w:cs="Arial"/>
          <w:color w:val="000000" w:themeColor="text1"/>
        </w:rPr>
        <w:t xml:space="preserve">Ing. Milan Petržílek </w:t>
      </w:r>
    </w:p>
    <w:p w:rsidR="002F24F7" w:rsidRPr="002F24F7" w:rsidRDefault="002F24F7" w:rsidP="002F24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F24F7">
        <w:rPr>
          <w:rFonts w:ascii="Arial" w:hAnsi="Arial" w:cs="Arial"/>
          <w:color w:val="000000" w:themeColor="text1"/>
        </w:rPr>
        <w:t>odbor personální</w:t>
      </w:r>
    </w:p>
    <w:p w:rsidR="002F24F7" w:rsidRPr="002F24F7" w:rsidRDefault="002F24F7" w:rsidP="002F24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F24F7">
        <w:rPr>
          <w:rFonts w:ascii="Arial" w:hAnsi="Arial" w:cs="Arial"/>
          <w:color w:val="000000" w:themeColor="text1"/>
        </w:rPr>
        <w:t xml:space="preserve">tel.: +420 974 832 295  </w:t>
      </w:r>
    </w:p>
    <w:p w:rsidR="00AB20EC" w:rsidRDefault="002F24F7" w:rsidP="002F24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F24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E55CCA">
          <w:rPr>
            <w:rStyle w:val="Hypertextovodkaz"/>
            <w:rFonts w:ascii="Arial" w:hAnsi="Arial" w:cs="Arial"/>
          </w:rPr>
          <w:t>milan.petrzilek@mvcr.cz</w:t>
        </w:r>
      </w:hyperlink>
    </w:p>
    <w:p w:rsidR="002F24F7" w:rsidRPr="00AB20EC" w:rsidRDefault="002F24F7" w:rsidP="002F24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7712" w:rsidRDefault="00EB7712" w:rsidP="00EB771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5" w:rsidRDefault="00F37A55" w:rsidP="00276ED4">
      <w:pPr>
        <w:spacing w:after="0" w:line="240" w:lineRule="auto"/>
      </w:pPr>
      <w:r>
        <w:separator/>
      </w:r>
    </w:p>
  </w:endnote>
  <w:endnote w:type="continuationSeparator" w:id="0">
    <w:p w:rsidR="00F37A55" w:rsidRDefault="00F37A5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3698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5" w:rsidRDefault="00F37A55" w:rsidP="00276ED4">
      <w:pPr>
        <w:spacing w:after="0" w:line="240" w:lineRule="auto"/>
      </w:pPr>
      <w:r>
        <w:separator/>
      </w:r>
    </w:p>
  </w:footnote>
  <w:footnote w:type="continuationSeparator" w:id="0">
    <w:p w:rsidR="00F37A55" w:rsidRDefault="00F37A5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26B0"/>
    <w:rsid w:val="000D30E6"/>
    <w:rsid w:val="000E665F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2346E"/>
    <w:rsid w:val="00240188"/>
    <w:rsid w:val="00242E6B"/>
    <w:rsid w:val="00243471"/>
    <w:rsid w:val="00272209"/>
    <w:rsid w:val="00272336"/>
    <w:rsid w:val="0027343F"/>
    <w:rsid w:val="00276ED4"/>
    <w:rsid w:val="00282115"/>
    <w:rsid w:val="002931A1"/>
    <w:rsid w:val="002B1EA2"/>
    <w:rsid w:val="002B410A"/>
    <w:rsid w:val="002E2A92"/>
    <w:rsid w:val="002E4A9C"/>
    <w:rsid w:val="002F24F7"/>
    <w:rsid w:val="002F75D4"/>
    <w:rsid w:val="003059FD"/>
    <w:rsid w:val="00312A72"/>
    <w:rsid w:val="00336923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80638"/>
    <w:rsid w:val="004B2025"/>
    <w:rsid w:val="004C03D9"/>
    <w:rsid w:val="004C07B4"/>
    <w:rsid w:val="004C5FB5"/>
    <w:rsid w:val="00517F77"/>
    <w:rsid w:val="005221E0"/>
    <w:rsid w:val="00527A3A"/>
    <w:rsid w:val="00527B21"/>
    <w:rsid w:val="00545139"/>
    <w:rsid w:val="005504EA"/>
    <w:rsid w:val="00550EF3"/>
    <w:rsid w:val="005544FC"/>
    <w:rsid w:val="0057691E"/>
    <w:rsid w:val="005A2AFB"/>
    <w:rsid w:val="005C23D9"/>
    <w:rsid w:val="005C4DC4"/>
    <w:rsid w:val="005E4B5E"/>
    <w:rsid w:val="005E7FC2"/>
    <w:rsid w:val="005F77C6"/>
    <w:rsid w:val="005F7812"/>
    <w:rsid w:val="006030B1"/>
    <w:rsid w:val="006060F0"/>
    <w:rsid w:val="0061716D"/>
    <w:rsid w:val="0064419A"/>
    <w:rsid w:val="006C0C04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900F2"/>
    <w:rsid w:val="00790ADF"/>
    <w:rsid w:val="007A1C61"/>
    <w:rsid w:val="007A294E"/>
    <w:rsid w:val="007B30F5"/>
    <w:rsid w:val="007C3B99"/>
    <w:rsid w:val="007C53D7"/>
    <w:rsid w:val="007E14D2"/>
    <w:rsid w:val="007E4D9B"/>
    <w:rsid w:val="007E5A22"/>
    <w:rsid w:val="007F4F97"/>
    <w:rsid w:val="008278D5"/>
    <w:rsid w:val="00853241"/>
    <w:rsid w:val="0085428E"/>
    <w:rsid w:val="00855B38"/>
    <w:rsid w:val="00860641"/>
    <w:rsid w:val="0087512E"/>
    <w:rsid w:val="008757FA"/>
    <w:rsid w:val="00893C49"/>
    <w:rsid w:val="008B3AD8"/>
    <w:rsid w:val="008C3B5F"/>
    <w:rsid w:val="008E1C4D"/>
    <w:rsid w:val="008E6A0B"/>
    <w:rsid w:val="009043EE"/>
    <w:rsid w:val="009062CC"/>
    <w:rsid w:val="0092136A"/>
    <w:rsid w:val="00955869"/>
    <w:rsid w:val="00980A06"/>
    <w:rsid w:val="00982E4E"/>
    <w:rsid w:val="009A446B"/>
    <w:rsid w:val="009A732F"/>
    <w:rsid w:val="009D16A9"/>
    <w:rsid w:val="009D448E"/>
    <w:rsid w:val="009D4C86"/>
    <w:rsid w:val="009D7016"/>
    <w:rsid w:val="00A0294A"/>
    <w:rsid w:val="00A10E8C"/>
    <w:rsid w:val="00A34D3B"/>
    <w:rsid w:val="00A3698B"/>
    <w:rsid w:val="00A63D07"/>
    <w:rsid w:val="00A813A7"/>
    <w:rsid w:val="00A81D00"/>
    <w:rsid w:val="00A8407C"/>
    <w:rsid w:val="00A8763A"/>
    <w:rsid w:val="00AB20EC"/>
    <w:rsid w:val="00AC085E"/>
    <w:rsid w:val="00AC1D26"/>
    <w:rsid w:val="00AC276D"/>
    <w:rsid w:val="00AC2FB9"/>
    <w:rsid w:val="00AD4A01"/>
    <w:rsid w:val="00B00198"/>
    <w:rsid w:val="00B02CD2"/>
    <w:rsid w:val="00B16633"/>
    <w:rsid w:val="00B170B6"/>
    <w:rsid w:val="00B21F23"/>
    <w:rsid w:val="00B228A2"/>
    <w:rsid w:val="00B233FD"/>
    <w:rsid w:val="00B41DD1"/>
    <w:rsid w:val="00B63A65"/>
    <w:rsid w:val="00B74273"/>
    <w:rsid w:val="00B95806"/>
    <w:rsid w:val="00BE0997"/>
    <w:rsid w:val="00BE477C"/>
    <w:rsid w:val="00C0487A"/>
    <w:rsid w:val="00C11E99"/>
    <w:rsid w:val="00C2028E"/>
    <w:rsid w:val="00C31A8E"/>
    <w:rsid w:val="00C57A25"/>
    <w:rsid w:val="00C63E1F"/>
    <w:rsid w:val="00C75DF2"/>
    <w:rsid w:val="00C8078F"/>
    <w:rsid w:val="00CA3E14"/>
    <w:rsid w:val="00CB1067"/>
    <w:rsid w:val="00CB4D15"/>
    <w:rsid w:val="00CB6F58"/>
    <w:rsid w:val="00CC35D5"/>
    <w:rsid w:val="00CC584E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B7712"/>
    <w:rsid w:val="00EE1577"/>
    <w:rsid w:val="00EE40B4"/>
    <w:rsid w:val="00F040F0"/>
    <w:rsid w:val="00F26BFB"/>
    <w:rsid w:val="00F33781"/>
    <w:rsid w:val="00F37A55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an.petrzilek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2D98-CED2-4390-802C-BB65044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47</cp:revision>
  <cp:lastPrinted>2017-12-21T16:47:00Z</cp:lastPrinted>
  <dcterms:created xsi:type="dcterms:W3CDTF">2017-07-10T12:08:00Z</dcterms:created>
  <dcterms:modified xsi:type="dcterms:W3CDTF">2017-12-21T16:47:00Z</dcterms:modified>
</cp:coreProperties>
</file>