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327"/>
      </w:tblGrid>
      <w:tr w:rsidR="0007590D" w:rsidTr="00BF6DF3">
        <w:trPr>
          <w:trHeight w:val="464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F6DF3" w:rsidRPr="007E1E0D" w:rsidTr="000132EF">
              <w:trPr>
                <w:trHeight w:val="464"/>
              </w:trPr>
              <w:tc>
                <w:tcPr>
                  <w:tcW w:w="0" w:type="auto"/>
                </w:tcPr>
                <w:p w:rsidR="00BF6DF3" w:rsidRPr="007E1E0D" w:rsidRDefault="00BF6DF3" w:rsidP="00BF6DF3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3WY2P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MVCRX053WY2P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F6DF3" w:rsidRPr="007E1E0D" w:rsidTr="000132EF">
              <w:trPr>
                <w:trHeight w:val="114"/>
              </w:trPr>
              <w:tc>
                <w:tcPr>
                  <w:tcW w:w="0" w:type="auto"/>
                </w:tcPr>
                <w:p w:rsidR="00BF6DF3" w:rsidRPr="007E1E0D" w:rsidRDefault="00BF6DF3" w:rsidP="00BF6DF3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3WY2P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MVCRX053WY2P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F6DF3" w:rsidRPr="007E1E0D" w:rsidTr="000132EF">
              <w:trPr>
                <w:trHeight w:val="122"/>
              </w:trPr>
              <w:tc>
                <w:tcPr>
                  <w:tcW w:w="0" w:type="auto"/>
                </w:tcPr>
                <w:p w:rsidR="00BF6DF3" w:rsidRPr="007E1E0D" w:rsidRDefault="00BF6DF3" w:rsidP="00BF6DF3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07590D" w:rsidRDefault="0007590D" w:rsidP="0007590D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 w:line="240" w:lineRule="auto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</w:p>
        </w:tc>
      </w:tr>
      <w:tr w:rsidR="0007590D" w:rsidTr="00BF6DF3">
        <w:trPr>
          <w:trHeight w:val="114"/>
        </w:trPr>
        <w:tc>
          <w:tcPr>
            <w:tcW w:w="0" w:type="auto"/>
          </w:tcPr>
          <w:p w:rsidR="0007590D" w:rsidRDefault="0007590D" w:rsidP="00075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0D" w:rsidTr="00BF6DF3">
        <w:trPr>
          <w:trHeight w:val="122"/>
        </w:trPr>
        <w:tc>
          <w:tcPr>
            <w:tcW w:w="0" w:type="auto"/>
          </w:tcPr>
          <w:p w:rsidR="0007590D" w:rsidRDefault="0007590D" w:rsidP="0007590D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9400E1">
        <w:rPr>
          <w:rFonts w:ascii="Arial" w:hAnsi="Arial" w:cs="Arial"/>
          <w:b/>
          <w:sz w:val="24"/>
          <w:szCs w:val="24"/>
        </w:rPr>
        <w:t>odborného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3194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oddělení</w:t>
      </w:r>
      <w:r w:rsidR="00882385">
        <w:rPr>
          <w:rFonts w:ascii="Arial" w:hAnsi="Arial" w:cs="Arial"/>
          <w:b/>
          <w:sz w:val="24"/>
          <w:szCs w:val="24"/>
        </w:rPr>
        <w:t xml:space="preserve"> </w:t>
      </w:r>
      <w:r w:rsidR="008B657E">
        <w:rPr>
          <w:rFonts w:ascii="Arial" w:hAnsi="Arial" w:cs="Arial"/>
          <w:b/>
          <w:sz w:val="24"/>
          <w:szCs w:val="24"/>
        </w:rPr>
        <w:t>pobytu cizinců Jihomoravský kraj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 xml:space="preserve">ební místo je zařazeno v odboru </w:t>
      </w:r>
      <w:r w:rsidR="006B3108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2C4AD4">
        <w:rPr>
          <w:rFonts w:ascii="Arial" w:hAnsi="Arial" w:cs="Arial"/>
        </w:rPr>
        <w:t>Č.</w:t>
      </w:r>
      <w:r w:rsidR="00276ED4" w:rsidRPr="00BF6DF3">
        <w:rPr>
          <w:rFonts w:ascii="Arial" w:hAnsi="Arial" w:cs="Arial"/>
        </w:rPr>
        <w:t>j.</w:t>
      </w:r>
      <w:proofErr w:type="gramEnd"/>
      <w:r w:rsidR="00F94ECD" w:rsidRPr="00BF6DF3">
        <w:rPr>
          <w:rFonts w:ascii="Arial" w:hAnsi="Arial" w:cs="Arial"/>
        </w:rPr>
        <w:t>:</w:t>
      </w:r>
      <w:r w:rsidR="00276ED4" w:rsidRPr="00BF6DF3">
        <w:rPr>
          <w:rFonts w:ascii="Arial" w:hAnsi="Arial" w:cs="Arial"/>
        </w:rPr>
        <w:t xml:space="preserve"> </w:t>
      </w:r>
      <w:r w:rsidR="009D16A9" w:rsidRPr="00BF6DF3">
        <w:rPr>
          <w:rFonts w:ascii="Arial" w:hAnsi="Arial" w:cs="Arial"/>
        </w:rPr>
        <w:t>MV-</w:t>
      </w:r>
      <w:r w:rsidR="00BF6DF3" w:rsidRPr="00BF6DF3">
        <w:rPr>
          <w:rFonts w:ascii="Arial" w:hAnsi="Arial" w:cs="Arial"/>
        </w:rPr>
        <w:t>108605</w:t>
      </w:r>
      <w:r w:rsidR="00AB7FFE" w:rsidRPr="00BF6DF3">
        <w:rPr>
          <w:rFonts w:ascii="Arial" w:hAnsi="Arial" w:cs="Arial"/>
        </w:rPr>
        <w:t>-</w:t>
      </w:r>
      <w:r w:rsidR="00635249" w:rsidRPr="00BF6DF3">
        <w:rPr>
          <w:rFonts w:ascii="Arial" w:hAnsi="Arial" w:cs="Arial"/>
        </w:rPr>
        <w:t>3</w:t>
      </w:r>
      <w:r w:rsidR="00B02CD2" w:rsidRPr="00BF6DF3">
        <w:rPr>
          <w:rFonts w:ascii="Arial" w:hAnsi="Arial" w:cs="Arial"/>
        </w:rPr>
        <w:t>/</w:t>
      </w:r>
      <w:r w:rsidRPr="00BF6DF3">
        <w:rPr>
          <w:rFonts w:ascii="Arial" w:hAnsi="Arial" w:cs="Arial"/>
        </w:rPr>
        <w:t>SP-20</w:t>
      </w:r>
      <w:r w:rsidR="00F0720D" w:rsidRPr="00BF6DF3">
        <w:rPr>
          <w:rFonts w:ascii="Arial" w:hAnsi="Arial" w:cs="Arial"/>
        </w:rPr>
        <w:t>20</w:t>
      </w:r>
      <w:r w:rsidR="007E5A22" w:rsidRPr="00BF6DF3">
        <w:rPr>
          <w:rFonts w:ascii="Arial" w:hAnsi="Arial" w:cs="Arial"/>
        </w:rPr>
        <w:tab/>
      </w:r>
      <w:r w:rsidRPr="00BF6DF3">
        <w:rPr>
          <w:rFonts w:ascii="Arial" w:hAnsi="Arial" w:cs="Arial"/>
        </w:rPr>
        <w:t xml:space="preserve">                                                                </w:t>
      </w:r>
      <w:r w:rsidR="0084214F" w:rsidRPr="00BF6DF3">
        <w:rPr>
          <w:rFonts w:ascii="Arial" w:hAnsi="Arial" w:cs="Arial"/>
        </w:rPr>
        <w:t xml:space="preserve">                            </w:t>
      </w:r>
      <w:r w:rsidR="00F50535" w:rsidRPr="00BF6DF3">
        <w:rPr>
          <w:rFonts w:ascii="Arial" w:hAnsi="Arial" w:cs="Arial"/>
        </w:rPr>
        <w:t xml:space="preserve"> </w:t>
      </w:r>
      <w:r w:rsidR="00AE71FE" w:rsidRPr="00BF6DF3">
        <w:rPr>
          <w:rFonts w:ascii="Arial" w:hAnsi="Arial" w:cs="Arial"/>
        </w:rPr>
        <w:t>P</w:t>
      </w:r>
      <w:r w:rsidRPr="00BF6DF3">
        <w:rPr>
          <w:rFonts w:ascii="Arial" w:hAnsi="Arial" w:cs="Arial"/>
        </w:rPr>
        <w:t xml:space="preserve">raha </w:t>
      </w:r>
      <w:r w:rsidR="00BF6DF3" w:rsidRPr="00BF6DF3">
        <w:rPr>
          <w:rFonts w:ascii="Arial" w:hAnsi="Arial" w:cs="Arial"/>
        </w:rPr>
        <w:t>10. července</w:t>
      </w:r>
      <w:r w:rsidR="002E6368" w:rsidRPr="00BF6DF3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882385" w:rsidRDefault="0057691E" w:rsidP="00145D0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>služební místo</w:t>
      </w:r>
      <w:r w:rsidR="009400E1">
        <w:rPr>
          <w:rFonts w:ascii="Arial" w:hAnsi="Arial" w:cs="Arial"/>
        </w:rPr>
        <w:t xml:space="preserve"> </w:t>
      </w:r>
      <w:r w:rsidR="009400E1">
        <w:rPr>
          <w:rFonts w:ascii="Arial" w:hAnsi="Arial" w:cs="Arial"/>
          <w:b/>
        </w:rPr>
        <w:t>odborného referenta v oddělen</w:t>
      </w:r>
      <w:r w:rsidR="00D87883">
        <w:rPr>
          <w:rFonts w:ascii="Arial" w:hAnsi="Arial" w:cs="Arial"/>
          <w:b/>
        </w:rPr>
        <w:t xml:space="preserve">í </w:t>
      </w:r>
      <w:r w:rsidR="008B657E" w:rsidRPr="008B657E">
        <w:rPr>
          <w:rFonts w:ascii="Arial" w:hAnsi="Arial" w:cs="Arial"/>
          <w:b/>
        </w:rPr>
        <w:t>pobytu cizinců Jihomoravský kraj</w:t>
      </w:r>
      <w:r w:rsidR="00D87883">
        <w:rPr>
          <w:rFonts w:ascii="Arial" w:hAnsi="Arial" w:cs="Arial"/>
          <w:b/>
        </w:rPr>
        <w:t xml:space="preserve">, ID </w:t>
      </w:r>
      <w:r w:rsidR="008B657E">
        <w:rPr>
          <w:rFonts w:ascii="Arial" w:hAnsi="Arial" w:cs="Arial"/>
          <w:b/>
        </w:rPr>
        <w:t>30280222</w:t>
      </w:r>
      <w:r w:rsidR="009400E1">
        <w:rPr>
          <w:rFonts w:ascii="Arial" w:hAnsi="Arial" w:cs="Arial"/>
          <w:b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6B3108" w:rsidRDefault="006B3108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24. 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8B657E">
        <w:rPr>
          <w:rFonts w:ascii="Arial" w:hAnsi="Arial" w:cs="Arial"/>
          <w:b/>
        </w:rPr>
        <w:t>Brno</w:t>
      </w:r>
      <w:r w:rsidR="00E46404">
        <w:rPr>
          <w:rFonts w:ascii="Arial" w:hAnsi="Arial" w:cs="Arial"/>
          <w:b/>
        </w:rPr>
        <w:t>.</w:t>
      </w:r>
    </w:p>
    <w:p w:rsidR="004D303E" w:rsidRDefault="00A0294A" w:rsidP="00913C36">
      <w:pPr>
        <w:spacing w:before="240" w:line="360" w:lineRule="auto"/>
        <w:jc w:val="both"/>
        <w:rPr>
          <w:rFonts w:ascii="Arial" w:hAnsi="Arial" w:cs="Arial"/>
          <w:b/>
        </w:rPr>
      </w:pPr>
      <w:r w:rsidRPr="00882385">
        <w:rPr>
          <w:rFonts w:ascii="Arial" w:hAnsi="Arial" w:cs="Arial"/>
        </w:rPr>
        <w:t>Služba na tomto služebním místě bude vykonáv</w:t>
      </w:r>
      <w:r w:rsidR="00882385" w:rsidRPr="00882385">
        <w:rPr>
          <w:rFonts w:ascii="Arial" w:hAnsi="Arial" w:cs="Arial"/>
        </w:rPr>
        <w:t xml:space="preserve">ána ve </w:t>
      </w:r>
      <w:r w:rsidR="00882385" w:rsidRPr="009353CB">
        <w:rPr>
          <w:rFonts w:ascii="Arial" w:hAnsi="Arial" w:cs="Arial"/>
        </w:rPr>
        <w:t xml:space="preserve">služebním poměru na dobu </w:t>
      </w:r>
      <w:r w:rsidR="008B657E" w:rsidRPr="008B657E">
        <w:rPr>
          <w:rFonts w:ascii="Arial" w:hAnsi="Arial" w:cs="Arial"/>
          <w:b/>
        </w:rPr>
        <w:t>ne</w:t>
      </w:r>
      <w:r w:rsidR="00D87883" w:rsidRPr="009353CB">
        <w:rPr>
          <w:rFonts w:ascii="Arial" w:hAnsi="Arial" w:cs="Arial"/>
          <w:b/>
        </w:rPr>
        <w:t>určitou.</w:t>
      </w:r>
      <w:r w:rsidR="00D87883">
        <w:rPr>
          <w:rFonts w:ascii="Arial" w:hAnsi="Arial" w:cs="Arial"/>
          <w:b/>
        </w:rPr>
        <w:t xml:space="preserve"> 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9353CB">
        <w:rPr>
          <w:rFonts w:ascii="Arial" w:hAnsi="Arial" w:cs="Arial"/>
          <w:b/>
        </w:rPr>
        <w:t>září</w:t>
      </w:r>
      <w:r w:rsidR="009400E1">
        <w:rPr>
          <w:rFonts w:ascii="Arial" w:hAnsi="Arial" w:cs="Arial"/>
          <w:b/>
        </w:rPr>
        <w:t xml:space="preserve"> 2020.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9400E1">
        <w:rPr>
          <w:rFonts w:ascii="Arial" w:hAnsi="Arial" w:cs="Arial"/>
          <w:b/>
        </w:rPr>
        <w:t>8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145D09" w:rsidRDefault="004B2025" w:rsidP="008B65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400E1">
        <w:rPr>
          <w:rFonts w:ascii="Arial" w:hAnsi="Arial" w:cs="Arial"/>
        </w:rPr>
        <w:t>N</w:t>
      </w:r>
      <w:r w:rsidR="00417DD3" w:rsidRPr="009400E1">
        <w:rPr>
          <w:rFonts w:ascii="Arial" w:hAnsi="Arial" w:cs="Arial"/>
        </w:rPr>
        <w:t xml:space="preserve">a služebním místě </w:t>
      </w:r>
      <w:r w:rsidRPr="009400E1">
        <w:rPr>
          <w:rFonts w:ascii="Arial" w:hAnsi="Arial" w:cs="Arial"/>
        </w:rPr>
        <w:t>jsou vykonávány zejména následující činnosti</w:t>
      </w:r>
      <w:r w:rsidR="00417DD3" w:rsidRPr="009400E1">
        <w:rPr>
          <w:rFonts w:ascii="Arial" w:hAnsi="Arial" w:cs="Arial"/>
        </w:rPr>
        <w:t>:</w:t>
      </w:r>
      <w:r w:rsidR="00F10CC8" w:rsidRPr="009400E1">
        <w:rPr>
          <w:rFonts w:ascii="Arial" w:hAnsi="Arial" w:cs="Arial"/>
        </w:rPr>
        <w:t xml:space="preserve"> </w:t>
      </w:r>
      <w:r w:rsidR="008B657E" w:rsidRPr="008B657E">
        <w:rPr>
          <w:rFonts w:ascii="Arial" w:eastAsiaTheme="minorHAnsi" w:hAnsi="Arial" w:cs="Arial"/>
        </w:rPr>
        <w:t>přepážkov</w:t>
      </w:r>
      <w:r w:rsidR="008B657E">
        <w:rPr>
          <w:rFonts w:ascii="Arial" w:eastAsiaTheme="minorHAnsi" w:hAnsi="Arial" w:cs="Arial"/>
        </w:rPr>
        <w:t>á a </w:t>
      </w:r>
      <w:r w:rsidR="008B657E" w:rsidRPr="008B657E">
        <w:rPr>
          <w:rFonts w:ascii="Arial" w:eastAsiaTheme="minorHAnsi" w:hAnsi="Arial" w:cs="Arial"/>
        </w:rPr>
        <w:t>administrativní činnost souvise</w:t>
      </w:r>
      <w:r w:rsidR="008B657E">
        <w:rPr>
          <w:rFonts w:ascii="Arial" w:eastAsiaTheme="minorHAnsi" w:hAnsi="Arial" w:cs="Arial"/>
        </w:rPr>
        <w:t xml:space="preserve">jící s pobytem cizinců na území ČR, </w:t>
      </w:r>
      <w:r w:rsidR="008B657E" w:rsidRPr="008B657E">
        <w:rPr>
          <w:rFonts w:ascii="Arial" w:eastAsiaTheme="minorHAnsi" w:hAnsi="Arial" w:cs="Arial"/>
        </w:rPr>
        <w:t>vedení správního řízení podle zákona č. 32</w:t>
      </w:r>
      <w:r w:rsidR="008B657E">
        <w:rPr>
          <w:rFonts w:ascii="Arial" w:eastAsiaTheme="minorHAnsi" w:hAnsi="Arial" w:cs="Arial"/>
        </w:rPr>
        <w:t xml:space="preserve">6/1999 Sb., o pobytu cizinců na </w:t>
      </w:r>
      <w:r w:rsidR="008B657E" w:rsidRPr="008B657E">
        <w:rPr>
          <w:rFonts w:ascii="Arial" w:eastAsiaTheme="minorHAnsi" w:hAnsi="Arial" w:cs="Arial"/>
        </w:rPr>
        <w:t>území České republiky</w:t>
      </w:r>
      <w:r w:rsidR="008B657E">
        <w:rPr>
          <w:rFonts w:ascii="Arial" w:eastAsiaTheme="minorHAnsi" w:hAnsi="Arial" w:cs="Arial"/>
        </w:rPr>
        <w:t xml:space="preserve">, ve znění pozdějších předpisů, </w:t>
      </w:r>
      <w:r w:rsidR="008B657E" w:rsidRPr="008B657E">
        <w:rPr>
          <w:rFonts w:ascii="Arial" w:eastAsiaTheme="minorHAnsi" w:hAnsi="Arial" w:cs="Arial"/>
        </w:rPr>
        <w:t>spoluprác</w:t>
      </w:r>
      <w:r w:rsidR="008B657E">
        <w:rPr>
          <w:rFonts w:ascii="Arial" w:eastAsiaTheme="minorHAnsi" w:hAnsi="Arial" w:cs="Arial"/>
        </w:rPr>
        <w:t>e</w:t>
      </w:r>
      <w:r w:rsidR="008B657E" w:rsidRPr="008B657E">
        <w:rPr>
          <w:rFonts w:ascii="Arial" w:eastAsiaTheme="minorHAnsi" w:hAnsi="Arial" w:cs="Arial"/>
        </w:rPr>
        <w:t xml:space="preserve"> s ostatními orgány státní správy a samosprávy. </w:t>
      </w:r>
      <w:r w:rsidR="008B657E" w:rsidRPr="00145D09">
        <w:rPr>
          <w:rFonts w:ascii="Arial" w:hAnsi="Arial" w:cs="Arial"/>
        </w:rPr>
        <w:t>Pokročilá</w:t>
      </w:r>
      <w:r w:rsidR="008B657E">
        <w:rPr>
          <w:rFonts w:ascii="Arial" w:hAnsi="Arial" w:cs="Arial"/>
        </w:rPr>
        <w:t xml:space="preserve"> znalost MS </w:t>
      </w:r>
      <w:r w:rsidR="008B657E" w:rsidRPr="00145D09">
        <w:rPr>
          <w:rFonts w:ascii="Arial" w:hAnsi="Arial" w:cs="Arial"/>
        </w:rPr>
        <w:t xml:space="preserve">Office </w:t>
      </w:r>
      <w:r w:rsidR="008B657E">
        <w:rPr>
          <w:rFonts w:ascii="Arial" w:hAnsi="Arial" w:cs="Arial"/>
        </w:rPr>
        <w:t xml:space="preserve">je </w:t>
      </w:r>
      <w:r w:rsidR="008B657E" w:rsidRPr="00145D09">
        <w:rPr>
          <w:rFonts w:ascii="Arial" w:hAnsi="Arial" w:cs="Arial"/>
        </w:rPr>
        <w:t>výhodou.</w:t>
      </w:r>
      <w:r w:rsidR="008B657E">
        <w:rPr>
          <w:rFonts w:ascii="Arial" w:hAnsi="Arial" w:cs="Arial"/>
        </w:rPr>
        <w:t xml:space="preserve"> </w:t>
      </w:r>
      <w:r w:rsidR="008B657E" w:rsidRPr="008B657E">
        <w:rPr>
          <w:rFonts w:ascii="Arial" w:eastAsiaTheme="minorHAnsi" w:hAnsi="Arial" w:cs="Arial"/>
        </w:rPr>
        <w:t>Na služebním místě je stanoven zvláštní př</w:t>
      </w:r>
      <w:r w:rsidR="008B657E">
        <w:rPr>
          <w:rFonts w:ascii="Arial" w:eastAsiaTheme="minorHAnsi" w:hAnsi="Arial" w:cs="Arial"/>
        </w:rPr>
        <w:t>íplatek podle nařízení vlády č. </w:t>
      </w:r>
      <w:r w:rsidR="008B657E" w:rsidRPr="008B657E">
        <w:rPr>
          <w:rFonts w:ascii="Arial" w:eastAsiaTheme="minorHAnsi" w:hAnsi="Arial" w:cs="Arial"/>
        </w:rPr>
        <w:t>304/2014 Sb., o platových poměrech státních zaměstnanců.</w:t>
      </w:r>
      <w:r w:rsidR="008B657E">
        <w:rPr>
          <w:rFonts w:ascii="Arial" w:eastAsiaTheme="minorHAnsi" w:hAnsi="Arial" w:cs="Arial"/>
        </w:rPr>
        <w:t xml:space="preserve"> </w:t>
      </w:r>
      <w:r w:rsidR="009400E1">
        <w:rPr>
          <w:rFonts w:ascii="Arial" w:hAnsi="Arial" w:cs="Arial"/>
        </w:rPr>
        <w:t xml:space="preserve">Služební místo není </w:t>
      </w:r>
      <w:r w:rsidR="006B3108" w:rsidRPr="00145D09">
        <w:rPr>
          <w:rFonts w:ascii="Arial" w:hAnsi="Arial" w:cs="Arial"/>
        </w:rPr>
        <w:t xml:space="preserve">vhodné </w:t>
      </w:r>
      <w:r w:rsidR="005E4558" w:rsidRPr="00145D09">
        <w:rPr>
          <w:rFonts w:ascii="Arial" w:hAnsi="Arial" w:cs="Arial"/>
        </w:rPr>
        <w:t>pro </w:t>
      </w:r>
      <w:r w:rsidR="00413383" w:rsidRPr="00145D09">
        <w:rPr>
          <w:rFonts w:ascii="Arial" w:hAnsi="Arial" w:cs="Arial"/>
        </w:rPr>
        <w:t>O</w:t>
      </w:r>
      <w:r w:rsidR="0040767A" w:rsidRPr="00145D09">
        <w:rPr>
          <w:rFonts w:ascii="Arial" w:hAnsi="Arial" w:cs="Arial"/>
        </w:rPr>
        <w:t>ZZ</w:t>
      </w:r>
      <w:r w:rsidR="00882385" w:rsidRPr="00145D09">
        <w:rPr>
          <w:rFonts w:ascii="Arial" w:hAnsi="Arial" w:cs="Arial"/>
        </w:rPr>
        <w:t xml:space="preserve">/OZP. </w:t>
      </w:r>
    </w:p>
    <w:p w:rsidR="008B657E" w:rsidRPr="00145D09" w:rsidRDefault="008B657E" w:rsidP="008B65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BF6DF3">
        <w:rPr>
          <w:rFonts w:ascii="Arial" w:hAnsi="Arial" w:cs="Arial"/>
          <w:b/>
        </w:rPr>
        <w:t>20. července</w:t>
      </w:r>
      <w:bookmarkStart w:id="2" w:name="_GoBack"/>
      <w:bookmarkEnd w:id="2"/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882385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>vírat“ a slovy „Výběrové řízení na služební místo</w:t>
      </w:r>
      <w:r w:rsidR="00145D09">
        <w:rPr>
          <w:rFonts w:ascii="Arial" w:hAnsi="Arial" w:cs="Arial"/>
          <w:b/>
        </w:rPr>
        <w:t xml:space="preserve"> </w:t>
      </w:r>
      <w:r w:rsidR="009400E1">
        <w:rPr>
          <w:rFonts w:ascii="Arial" w:hAnsi="Arial" w:cs="Arial"/>
          <w:b/>
        </w:rPr>
        <w:t xml:space="preserve">odborného referenta </w:t>
      </w:r>
      <w:r w:rsidR="00145D09">
        <w:rPr>
          <w:rFonts w:ascii="Arial" w:hAnsi="Arial" w:cs="Arial"/>
          <w:b/>
        </w:rPr>
        <w:t>v oddě</w:t>
      </w:r>
      <w:r w:rsidR="009400E1">
        <w:rPr>
          <w:rFonts w:ascii="Arial" w:hAnsi="Arial" w:cs="Arial"/>
          <w:b/>
        </w:rPr>
        <w:t xml:space="preserve">lení </w:t>
      </w:r>
      <w:r w:rsidR="008B657E">
        <w:rPr>
          <w:rFonts w:ascii="Arial" w:hAnsi="Arial" w:cs="Arial"/>
          <w:b/>
        </w:rPr>
        <w:t>pobytu cizinců Jihomoravský kraj</w:t>
      </w:r>
      <w:r w:rsidR="00313972">
        <w:rPr>
          <w:rFonts w:ascii="Arial" w:hAnsi="Arial" w:cs="Arial"/>
          <w:b/>
        </w:rPr>
        <w:t>;</w:t>
      </w:r>
      <w:r w:rsidR="00313972" w:rsidRPr="00313972">
        <w:rPr>
          <w:rFonts w:ascii="Arial" w:hAnsi="Arial" w:cs="Arial"/>
          <w:b/>
        </w:rPr>
        <w:t xml:space="preserve"> v</w:t>
      </w:r>
      <w:r w:rsidR="00773C7A">
        <w:rPr>
          <w:rFonts w:ascii="Arial" w:hAnsi="Arial" w:cs="Arial"/>
          <w:b/>
        </w:rPr>
        <w:t> </w:t>
      </w:r>
      <w:r w:rsidR="00313972" w:rsidRPr="00313972">
        <w:rPr>
          <w:rFonts w:ascii="Arial" w:hAnsi="Arial" w:cs="Arial"/>
          <w:b/>
        </w:rPr>
        <w:t>odboru</w:t>
      </w:r>
      <w:r w:rsidR="006C4BF8">
        <w:rPr>
          <w:rFonts w:ascii="Arial" w:hAnsi="Arial" w:cs="Arial"/>
          <w:b/>
        </w:rPr>
        <w:t xml:space="preserve"> azylové </w:t>
      </w:r>
      <w:r w:rsidR="006C4BF8" w:rsidRPr="00473325">
        <w:rPr>
          <w:rFonts w:ascii="Arial" w:hAnsi="Arial" w:cs="Arial"/>
          <w:b/>
        </w:rPr>
        <w:t>a </w:t>
      </w:r>
      <w:r w:rsidR="00773C7A" w:rsidRPr="00473325">
        <w:rPr>
          <w:rFonts w:ascii="Arial" w:hAnsi="Arial" w:cs="Arial"/>
          <w:b/>
        </w:rPr>
        <w:t>migrační politiky</w:t>
      </w:r>
      <w:r w:rsidR="0042482E" w:rsidRPr="00473325">
        <w:rPr>
          <w:rFonts w:ascii="Arial" w:hAnsi="Arial" w:cs="Arial"/>
          <w:b/>
        </w:rPr>
        <w:t>,</w:t>
      </w:r>
      <w:r w:rsidR="005221E0" w:rsidRPr="00473325">
        <w:rPr>
          <w:rFonts w:ascii="Arial" w:hAnsi="Arial" w:cs="Arial"/>
          <w:b/>
        </w:rPr>
        <w:t xml:space="preserve"> </w:t>
      </w:r>
      <w:r w:rsidR="000861E4">
        <w:rPr>
          <w:rFonts w:ascii="Arial" w:hAnsi="Arial" w:cs="Arial"/>
          <w:b/>
        </w:rPr>
        <w:t>ID </w:t>
      </w:r>
      <w:r w:rsidR="008B657E">
        <w:rPr>
          <w:rFonts w:ascii="Arial" w:hAnsi="Arial" w:cs="Arial"/>
          <w:b/>
        </w:rPr>
        <w:t>30280222</w:t>
      </w:r>
      <w:r w:rsidR="00313972" w:rsidRPr="002C4AD4">
        <w:rPr>
          <w:rFonts w:ascii="Arial" w:hAnsi="Arial" w:cs="Arial"/>
          <w:b/>
        </w:rPr>
        <w:t xml:space="preserve">, </w:t>
      </w:r>
      <w:proofErr w:type="gramStart"/>
      <w:r w:rsidR="002E6368" w:rsidRPr="002C4AD4">
        <w:rPr>
          <w:rFonts w:ascii="Arial" w:hAnsi="Arial" w:cs="Arial"/>
          <w:b/>
        </w:rPr>
        <w:t>č.j.</w:t>
      </w:r>
      <w:proofErr w:type="gramEnd"/>
      <w:r w:rsidR="002E6368" w:rsidRPr="002C4AD4">
        <w:rPr>
          <w:rFonts w:ascii="Arial" w:hAnsi="Arial" w:cs="Arial"/>
          <w:b/>
        </w:rPr>
        <w:t>: </w:t>
      </w:r>
      <w:r w:rsidR="00BF6DF3" w:rsidRPr="00BF6DF3">
        <w:rPr>
          <w:rFonts w:ascii="Arial" w:hAnsi="Arial" w:cs="Arial"/>
          <w:b/>
        </w:rPr>
        <w:t>MV-108605-3/SP-2020</w:t>
      </w:r>
      <w:r w:rsidRPr="002C4AD4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773C7A" w:rsidRPr="00773C7A" w:rsidRDefault="00276ED4" w:rsidP="00773C7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3C36">
        <w:rPr>
          <w:rFonts w:ascii="Arial" w:hAnsi="Arial" w:cs="Arial"/>
        </w:rPr>
        <w:t>splňuje základní předpoklady stanovené zákonem, tj.:</w:t>
      </w:r>
    </w:p>
    <w:p w:rsidR="00773C7A" w:rsidRPr="00980A06" w:rsidRDefault="00773C7A" w:rsidP="00773C7A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980A06">
        <w:rPr>
          <w:rFonts w:ascii="Arial" w:hAnsi="Arial" w:cs="Arial"/>
          <w:color w:val="000000" w:themeColor="text1"/>
        </w:rPr>
        <w:t xml:space="preserve"> České republiky [§ 25 odst. 1 písm. a) ve spojení </w:t>
      </w:r>
      <w:r>
        <w:rPr>
          <w:rFonts w:ascii="Arial" w:hAnsi="Arial" w:cs="Arial"/>
          <w:color w:val="000000" w:themeColor="text1"/>
        </w:rPr>
        <w:br/>
      </w:r>
      <w:r w:rsidRPr="00980A06">
        <w:rPr>
          <w:rFonts w:ascii="Arial" w:hAnsi="Arial" w:cs="Arial"/>
          <w:color w:val="000000" w:themeColor="text1"/>
        </w:rPr>
        <w:t>s § 25 odst. 4 zákona];</w:t>
      </w:r>
    </w:p>
    <w:p w:rsidR="00773C7A" w:rsidRPr="00773C7A" w:rsidRDefault="00773C7A" w:rsidP="00773C7A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lastRenderedPageBreak/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>, tj.</w:t>
      </w:r>
      <w:r w:rsidR="00002CFA">
        <w:rPr>
          <w:rFonts w:ascii="Arial" w:hAnsi="Arial" w:cs="Arial"/>
          <w:color w:val="000000" w:themeColor="text1"/>
        </w:rPr>
        <w:t xml:space="preserve"> </w:t>
      </w:r>
      <w:r w:rsidR="009400E1">
        <w:rPr>
          <w:rFonts w:ascii="Arial" w:hAnsi="Arial" w:cs="Arial"/>
          <w:color w:val="000000" w:themeColor="text1"/>
        </w:rPr>
        <w:t>středního vzdělání s maturitní zkouškou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6B4B0E">
        <w:rPr>
          <w:rFonts w:ascii="Arial" w:hAnsi="Arial" w:cs="Arial"/>
        </w:rPr>
        <w:t xml:space="preserve">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8B657E" w:rsidRPr="00A66E10" w:rsidRDefault="008B657E" w:rsidP="008B657E">
      <w:pPr>
        <w:pStyle w:val="Odstavecseseznamem"/>
        <w:numPr>
          <w:ilvl w:val="0"/>
          <w:numId w:val="19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>
        <w:rPr>
          <w:rFonts w:ascii="Arial" w:hAnsi="Arial" w:cs="Arial"/>
        </w:rPr>
        <w:t>níka v Ministerstvu vnitra č. 25/2020</w:t>
      </w:r>
      <w:r w:rsidRPr="00A66E10">
        <w:rPr>
          <w:rFonts w:ascii="Arial" w:hAnsi="Arial" w:cs="Arial"/>
        </w:rPr>
        <w:t>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8B657E" w:rsidRDefault="008B657E" w:rsidP="008B657E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Odbor azylové a migrační politiky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Romana Lindovská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tel. +420 974 832 502  </w:t>
      </w:r>
    </w:p>
    <w:p w:rsidR="00366507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34073D">
          <w:rPr>
            <w:rStyle w:val="Hypertextovodkaz"/>
            <w:rFonts w:ascii="Arial" w:hAnsi="Arial" w:cs="Arial"/>
          </w:rPr>
          <w:t>romana.lindovska@mvcr.cz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0861E4" w:rsidRDefault="000861E4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BC6E36" w:rsidRPr="003377C9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Default="00B3674E" w:rsidP="00182777">
      <w:pPr>
        <w:jc w:val="both"/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  <w:r w:rsidR="00182777">
        <w:rPr>
          <w:rFonts w:ascii="Arial" w:hAnsi="Arial" w:cs="Arial"/>
        </w:rPr>
        <w:t xml:space="preserve"> </w:t>
      </w:r>
    </w:p>
    <w:p w:rsidR="00182777" w:rsidRPr="00635249" w:rsidRDefault="00182777" w:rsidP="00182777">
      <w:pPr>
        <w:jc w:val="both"/>
        <w:rPr>
          <w:rFonts w:ascii="Arial" w:hAnsi="Arial" w:cs="Arial"/>
        </w:rPr>
      </w:pPr>
    </w:p>
    <w:p w:rsidR="00182777" w:rsidRDefault="00182777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</w:p>
    <w:p w:rsidR="00EB5034" w:rsidRPr="00182777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b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4533B0" w:rsidRPr="00182777">
        <w:rPr>
          <w:rFonts w:ascii="Arial" w:eastAsiaTheme="minorEastAsia" w:hAnsi="Arial" w:cs="Arial"/>
          <w:b/>
          <w:color w:val="000000" w:themeColor="text1"/>
          <w:lang w:eastAsia="cs-CZ"/>
        </w:rPr>
        <w:t>RN</w:t>
      </w:r>
      <w:r w:rsidR="00720604" w:rsidRPr="00182777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Dr. </w:t>
      </w:r>
      <w:r w:rsidR="001B6E87" w:rsidRPr="00182777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Josef Postránecký </w:t>
      </w:r>
    </w:p>
    <w:p w:rsidR="00EB5034" w:rsidRDefault="00182777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E2" w:rsidRDefault="00495BE2" w:rsidP="00276ED4">
      <w:pPr>
        <w:spacing w:after="0" w:line="240" w:lineRule="auto"/>
      </w:pPr>
      <w:r>
        <w:separator/>
      </w:r>
    </w:p>
  </w:endnote>
  <w:endnote w:type="continuationSeparator" w:id="0">
    <w:p w:rsidR="00495BE2" w:rsidRDefault="00495BE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F6DF3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E2" w:rsidRDefault="00495BE2" w:rsidP="00276ED4">
      <w:pPr>
        <w:spacing w:after="0" w:line="240" w:lineRule="auto"/>
      </w:pPr>
      <w:r>
        <w:separator/>
      </w:r>
    </w:p>
  </w:footnote>
  <w:footnote w:type="continuationSeparator" w:id="0">
    <w:p w:rsidR="00495BE2" w:rsidRDefault="00495BE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D3996"/>
    <w:multiLevelType w:val="hybridMultilevel"/>
    <w:tmpl w:val="032E75E2"/>
    <w:lvl w:ilvl="0" w:tplc="A5345B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02CFA"/>
    <w:rsid w:val="00017FCF"/>
    <w:rsid w:val="00022684"/>
    <w:rsid w:val="00025B9F"/>
    <w:rsid w:val="00040479"/>
    <w:rsid w:val="000444CB"/>
    <w:rsid w:val="0004686D"/>
    <w:rsid w:val="00047D58"/>
    <w:rsid w:val="00051739"/>
    <w:rsid w:val="00064C13"/>
    <w:rsid w:val="000674B7"/>
    <w:rsid w:val="00073FE5"/>
    <w:rsid w:val="00074CD0"/>
    <w:rsid w:val="0007590D"/>
    <w:rsid w:val="00084E8E"/>
    <w:rsid w:val="00084FFE"/>
    <w:rsid w:val="00085A0B"/>
    <w:rsid w:val="000861E4"/>
    <w:rsid w:val="00092B0F"/>
    <w:rsid w:val="00097818"/>
    <w:rsid w:val="000A227C"/>
    <w:rsid w:val="000B4BD6"/>
    <w:rsid w:val="000C26B0"/>
    <w:rsid w:val="000C360F"/>
    <w:rsid w:val="000D30E6"/>
    <w:rsid w:val="000D6320"/>
    <w:rsid w:val="000D779E"/>
    <w:rsid w:val="000E665F"/>
    <w:rsid w:val="000F17FA"/>
    <w:rsid w:val="000F2D84"/>
    <w:rsid w:val="001219CA"/>
    <w:rsid w:val="00136462"/>
    <w:rsid w:val="00140D4F"/>
    <w:rsid w:val="00144156"/>
    <w:rsid w:val="00145D09"/>
    <w:rsid w:val="0015341B"/>
    <w:rsid w:val="00153A84"/>
    <w:rsid w:val="001560CB"/>
    <w:rsid w:val="0016241B"/>
    <w:rsid w:val="00174DF6"/>
    <w:rsid w:val="00182777"/>
    <w:rsid w:val="00183CAD"/>
    <w:rsid w:val="0019253D"/>
    <w:rsid w:val="001A353E"/>
    <w:rsid w:val="001A376B"/>
    <w:rsid w:val="001A4416"/>
    <w:rsid w:val="001B6E87"/>
    <w:rsid w:val="001C0842"/>
    <w:rsid w:val="001D13FE"/>
    <w:rsid w:val="001D537E"/>
    <w:rsid w:val="001D718F"/>
    <w:rsid w:val="001E102B"/>
    <w:rsid w:val="001E2CF6"/>
    <w:rsid w:val="001E3496"/>
    <w:rsid w:val="001E49AA"/>
    <w:rsid w:val="001E5E7C"/>
    <w:rsid w:val="001E77F4"/>
    <w:rsid w:val="001F1879"/>
    <w:rsid w:val="00201A97"/>
    <w:rsid w:val="00203F7F"/>
    <w:rsid w:val="00205409"/>
    <w:rsid w:val="00205BF7"/>
    <w:rsid w:val="00210F0F"/>
    <w:rsid w:val="00213A33"/>
    <w:rsid w:val="00220078"/>
    <w:rsid w:val="00220237"/>
    <w:rsid w:val="0022346E"/>
    <w:rsid w:val="0022418B"/>
    <w:rsid w:val="00227FDB"/>
    <w:rsid w:val="00240188"/>
    <w:rsid w:val="00242E6B"/>
    <w:rsid w:val="00243471"/>
    <w:rsid w:val="0026608C"/>
    <w:rsid w:val="00272336"/>
    <w:rsid w:val="0027343F"/>
    <w:rsid w:val="00276ED4"/>
    <w:rsid w:val="00282115"/>
    <w:rsid w:val="002931A1"/>
    <w:rsid w:val="002B1EA2"/>
    <w:rsid w:val="002B410A"/>
    <w:rsid w:val="002C401B"/>
    <w:rsid w:val="002C4AD4"/>
    <w:rsid w:val="002E2A92"/>
    <w:rsid w:val="002E6368"/>
    <w:rsid w:val="002F75D4"/>
    <w:rsid w:val="0030444D"/>
    <w:rsid w:val="003059FD"/>
    <w:rsid w:val="00312A72"/>
    <w:rsid w:val="00313972"/>
    <w:rsid w:val="0032171B"/>
    <w:rsid w:val="00333471"/>
    <w:rsid w:val="00336923"/>
    <w:rsid w:val="003524B8"/>
    <w:rsid w:val="00361737"/>
    <w:rsid w:val="00363007"/>
    <w:rsid w:val="00363AEF"/>
    <w:rsid w:val="00366507"/>
    <w:rsid w:val="00390459"/>
    <w:rsid w:val="003A29AF"/>
    <w:rsid w:val="003B1ECF"/>
    <w:rsid w:val="003B692B"/>
    <w:rsid w:val="003D0150"/>
    <w:rsid w:val="003D29E5"/>
    <w:rsid w:val="003D57A9"/>
    <w:rsid w:val="003E5DEB"/>
    <w:rsid w:val="003E630C"/>
    <w:rsid w:val="00400EC8"/>
    <w:rsid w:val="0040767A"/>
    <w:rsid w:val="004101C0"/>
    <w:rsid w:val="00413383"/>
    <w:rsid w:val="00415080"/>
    <w:rsid w:val="00417DD3"/>
    <w:rsid w:val="0042482E"/>
    <w:rsid w:val="00430A87"/>
    <w:rsid w:val="00435E82"/>
    <w:rsid w:val="0043623A"/>
    <w:rsid w:val="0044040E"/>
    <w:rsid w:val="004533B0"/>
    <w:rsid w:val="004719BA"/>
    <w:rsid w:val="004730BC"/>
    <w:rsid w:val="00473325"/>
    <w:rsid w:val="00484347"/>
    <w:rsid w:val="00484DB5"/>
    <w:rsid w:val="00495BE2"/>
    <w:rsid w:val="004B2025"/>
    <w:rsid w:val="004C03D9"/>
    <w:rsid w:val="004C07B4"/>
    <w:rsid w:val="004C5FB5"/>
    <w:rsid w:val="004D303E"/>
    <w:rsid w:val="004D665F"/>
    <w:rsid w:val="004E0A29"/>
    <w:rsid w:val="005033BB"/>
    <w:rsid w:val="00510DC7"/>
    <w:rsid w:val="0051703A"/>
    <w:rsid w:val="00517F77"/>
    <w:rsid w:val="005221E0"/>
    <w:rsid w:val="00527A3A"/>
    <w:rsid w:val="00527B21"/>
    <w:rsid w:val="00545139"/>
    <w:rsid w:val="00547AD3"/>
    <w:rsid w:val="005504EA"/>
    <w:rsid w:val="00550EF3"/>
    <w:rsid w:val="005544FC"/>
    <w:rsid w:val="00556200"/>
    <w:rsid w:val="00556CD9"/>
    <w:rsid w:val="0056058E"/>
    <w:rsid w:val="00561B65"/>
    <w:rsid w:val="005646BE"/>
    <w:rsid w:val="00574B8D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558"/>
    <w:rsid w:val="005E4B5E"/>
    <w:rsid w:val="005E7FC2"/>
    <w:rsid w:val="005F77C6"/>
    <w:rsid w:val="005F7812"/>
    <w:rsid w:val="006030B1"/>
    <w:rsid w:val="006060F0"/>
    <w:rsid w:val="00610F50"/>
    <w:rsid w:val="006132AC"/>
    <w:rsid w:val="00615762"/>
    <w:rsid w:val="0061716D"/>
    <w:rsid w:val="00617F14"/>
    <w:rsid w:val="00630C73"/>
    <w:rsid w:val="00633A77"/>
    <w:rsid w:val="00635249"/>
    <w:rsid w:val="00635CA7"/>
    <w:rsid w:val="0064419A"/>
    <w:rsid w:val="00683357"/>
    <w:rsid w:val="006A638F"/>
    <w:rsid w:val="006B11F8"/>
    <w:rsid w:val="006B1532"/>
    <w:rsid w:val="006B3108"/>
    <w:rsid w:val="006B4B0E"/>
    <w:rsid w:val="006C0897"/>
    <w:rsid w:val="006C097B"/>
    <w:rsid w:val="006C2878"/>
    <w:rsid w:val="006C4BF8"/>
    <w:rsid w:val="006C7AEF"/>
    <w:rsid w:val="006D0359"/>
    <w:rsid w:val="006D380C"/>
    <w:rsid w:val="006E5097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5FE7"/>
    <w:rsid w:val="00726ACB"/>
    <w:rsid w:val="0073632F"/>
    <w:rsid w:val="00741C82"/>
    <w:rsid w:val="007525D0"/>
    <w:rsid w:val="00755FF6"/>
    <w:rsid w:val="00767644"/>
    <w:rsid w:val="00767D32"/>
    <w:rsid w:val="007708C6"/>
    <w:rsid w:val="00771340"/>
    <w:rsid w:val="00773C7A"/>
    <w:rsid w:val="0078045D"/>
    <w:rsid w:val="0078625E"/>
    <w:rsid w:val="007867D2"/>
    <w:rsid w:val="00787377"/>
    <w:rsid w:val="007900F2"/>
    <w:rsid w:val="00790A72"/>
    <w:rsid w:val="00790ADF"/>
    <w:rsid w:val="007A1C61"/>
    <w:rsid w:val="007A294E"/>
    <w:rsid w:val="007A512B"/>
    <w:rsid w:val="007B0D4A"/>
    <w:rsid w:val="007B2360"/>
    <w:rsid w:val="007B30F5"/>
    <w:rsid w:val="007C3B99"/>
    <w:rsid w:val="007C53D7"/>
    <w:rsid w:val="007C72FB"/>
    <w:rsid w:val="007C7E7F"/>
    <w:rsid w:val="007E14D2"/>
    <w:rsid w:val="007E28D8"/>
    <w:rsid w:val="007E4D9B"/>
    <w:rsid w:val="007E5A22"/>
    <w:rsid w:val="007F4F97"/>
    <w:rsid w:val="00803601"/>
    <w:rsid w:val="0080595F"/>
    <w:rsid w:val="00824CF1"/>
    <w:rsid w:val="008278D5"/>
    <w:rsid w:val="0084214F"/>
    <w:rsid w:val="00853241"/>
    <w:rsid w:val="0085428E"/>
    <w:rsid w:val="00860641"/>
    <w:rsid w:val="0087512E"/>
    <w:rsid w:val="008757FA"/>
    <w:rsid w:val="00882385"/>
    <w:rsid w:val="00893C49"/>
    <w:rsid w:val="00895346"/>
    <w:rsid w:val="008B3AD8"/>
    <w:rsid w:val="008B657E"/>
    <w:rsid w:val="008B7462"/>
    <w:rsid w:val="008B777E"/>
    <w:rsid w:val="008C3B5F"/>
    <w:rsid w:val="008D09F0"/>
    <w:rsid w:val="008E1C4D"/>
    <w:rsid w:val="008E6A0B"/>
    <w:rsid w:val="008F7AE8"/>
    <w:rsid w:val="009043EE"/>
    <w:rsid w:val="009062CC"/>
    <w:rsid w:val="00913C36"/>
    <w:rsid w:val="0092136A"/>
    <w:rsid w:val="00923103"/>
    <w:rsid w:val="0093194E"/>
    <w:rsid w:val="009353CB"/>
    <w:rsid w:val="009400E1"/>
    <w:rsid w:val="00943D24"/>
    <w:rsid w:val="00951F54"/>
    <w:rsid w:val="00955869"/>
    <w:rsid w:val="00971583"/>
    <w:rsid w:val="00972AB1"/>
    <w:rsid w:val="00972F4D"/>
    <w:rsid w:val="00975BED"/>
    <w:rsid w:val="00980A06"/>
    <w:rsid w:val="00981EF3"/>
    <w:rsid w:val="00982E4E"/>
    <w:rsid w:val="00986172"/>
    <w:rsid w:val="009A446B"/>
    <w:rsid w:val="009A732F"/>
    <w:rsid w:val="009D16A9"/>
    <w:rsid w:val="009D448E"/>
    <w:rsid w:val="009D4C86"/>
    <w:rsid w:val="009D7016"/>
    <w:rsid w:val="009E4EC8"/>
    <w:rsid w:val="009F047E"/>
    <w:rsid w:val="009F50CD"/>
    <w:rsid w:val="00A01468"/>
    <w:rsid w:val="00A0294A"/>
    <w:rsid w:val="00A10E8C"/>
    <w:rsid w:val="00A14758"/>
    <w:rsid w:val="00A1501D"/>
    <w:rsid w:val="00A25437"/>
    <w:rsid w:val="00A3319D"/>
    <w:rsid w:val="00A34D3B"/>
    <w:rsid w:val="00A47BAC"/>
    <w:rsid w:val="00A55C71"/>
    <w:rsid w:val="00A63D07"/>
    <w:rsid w:val="00A72431"/>
    <w:rsid w:val="00A75764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36BD"/>
    <w:rsid w:val="00AD4A01"/>
    <w:rsid w:val="00AE09E2"/>
    <w:rsid w:val="00AE71FE"/>
    <w:rsid w:val="00B00198"/>
    <w:rsid w:val="00B02CD2"/>
    <w:rsid w:val="00B033BB"/>
    <w:rsid w:val="00B15912"/>
    <w:rsid w:val="00B16633"/>
    <w:rsid w:val="00B170B6"/>
    <w:rsid w:val="00B228A2"/>
    <w:rsid w:val="00B233FD"/>
    <w:rsid w:val="00B26BF6"/>
    <w:rsid w:val="00B27F84"/>
    <w:rsid w:val="00B3674E"/>
    <w:rsid w:val="00B4150C"/>
    <w:rsid w:val="00B41DD1"/>
    <w:rsid w:val="00B63A65"/>
    <w:rsid w:val="00B724A3"/>
    <w:rsid w:val="00B74273"/>
    <w:rsid w:val="00B7518E"/>
    <w:rsid w:val="00B95073"/>
    <w:rsid w:val="00B95806"/>
    <w:rsid w:val="00BC6E36"/>
    <w:rsid w:val="00BD7563"/>
    <w:rsid w:val="00BE047C"/>
    <w:rsid w:val="00BE0997"/>
    <w:rsid w:val="00BE477C"/>
    <w:rsid w:val="00BE5520"/>
    <w:rsid w:val="00BE5C44"/>
    <w:rsid w:val="00BF42F4"/>
    <w:rsid w:val="00BF6DF3"/>
    <w:rsid w:val="00C00152"/>
    <w:rsid w:val="00C0487A"/>
    <w:rsid w:val="00C11E99"/>
    <w:rsid w:val="00C2028E"/>
    <w:rsid w:val="00C2798A"/>
    <w:rsid w:val="00C31A8E"/>
    <w:rsid w:val="00C4283B"/>
    <w:rsid w:val="00C5359A"/>
    <w:rsid w:val="00C54D4E"/>
    <w:rsid w:val="00C560ED"/>
    <w:rsid w:val="00C5656D"/>
    <w:rsid w:val="00C57A25"/>
    <w:rsid w:val="00C61CD6"/>
    <w:rsid w:val="00C63E1F"/>
    <w:rsid w:val="00C73302"/>
    <w:rsid w:val="00C75DF2"/>
    <w:rsid w:val="00C8078F"/>
    <w:rsid w:val="00C90C0E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C6ABD"/>
    <w:rsid w:val="00CE079D"/>
    <w:rsid w:val="00CE652B"/>
    <w:rsid w:val="00D104AF"/>
    <w:rsid w:val="00D136EE"/>
    <w:rsid w:val="00D3405C"/>
    <w:rsid w:val="00D34DC1"/>
    <w:rsid w:val="00D350BA"/>
    <w:rsid w:val="00D37DE5"/>
    <w:rsid w:val="00D43324"/>
    <w:rsid w:val="00D4346B"/>
    <w:rsid w:val="00D44A1A"/>
    <w:rsid w:val="00D44EC6"/>
    <w:rsid w:val="00D516ED"/>
    <w:rsid w:val="00D65A90"/>
    <w:rsid w:val="00D773F0"/>
    <w:rsid w:val="00D85BE6"/>
    <w:rsid w:val="00D87883"/>
    <w:rsid w:val="00D90B62"/>
    <w:rsid w:val="00D91198"/>
    <w:rsid w:val="00D915AC"/>
    <w:rsid w:val="00D92211"/>
    <w:rsid w:val="00DA2459"/>
    <w:rsid w:val="00DB0504"/>
    <w:rsid w:val="00DB3C5E"/>
    <w:rsid w:val="00DB5FC2"/>
    <w:rsid w:val="00DC47FE"/>
    <w:rsid w:val="00DC498F"/>
    <w:rsid w:val="00DD494D"/>
    <w:rsid w:val="00DD6777"/>
    <w:rsid w:val="00DE0518"/>
    <w:rsid w:val="00DE2CB3"/>
    <w:rsid w:val="00DE317A"/>
    <w:rsid w:val="00DF3DB3"/>
    <w:rsid w:val="00DF4926"/>
    <w:rsid w:val="00E10765"/>
    <w:rsid w:val="00E108CF"/>
    <w:rsid w:val="00E124F2"/>
    <w:rsid w:val="00E127A8"/>
    <w:rsid w:val="00E35A68"/>
    <w:rsid w:val="00E46404"/>
    <w:rsid w:val="00E71FA8"/>
    <w:rsid w:val="00E81E72"/>
    <w:rsid w:val="00E82334"/>
    <w:rsid w:val="00E95713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0720D"/>
    <w:rsid w:val="00F10CC8"/>
    <w:rsid w:val="00F2514E"/>
    <w:rsid w:val="00F26BFB"/>
    <w:rsid w:val="00F26DDA"/>
    <w:rsid w:val="00F33781"/>
    <w:rsid w:val="00F43722"/>
    <w:rsid w:val="00F466A4"/>
    <w:rsid w:val="00F50535"/>
    <w:rsid w:val="00F50AD8"/>
    <w:rsid w:val="00F515FA"/>
    <w:rsid w:val="00F626C9"/>
    <w:rsid w:val="00F65829"/>
    <w:rsid w:val="00F82E7C"/>
    <w:rsid w:val="00F84D02"/>
    <w:rsid w:val="00F94686"/>
    <w:rsid w:val="00F94ECD"/>
    <w:rsid w:val="00F96F61"/>
    <w:rsid w:val="00FA1431"/>
    <w:rsid w:val="00FB1375"/>
    <w:rsid w:val="00FB415C"/>
    <w:rsid w:val="00FB423F"/>
    <w:rsid w:val="00FC4AE2"/>
    <w:rsid w:val="00FC63F8"/>
    <w:rsid w:val="00FD06FE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3351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EAC1-DF24-4D58-9D89-E136EBD9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Miloslava Baďurová</cp:lastModifiedBy>
  <cp:revision>120</cp:revision>
  <cp:lastPrinted>2018-07-31T04:43:00Z</cp:lastPrinted>
  <dcterms:created xsi:type="dcterms:W3CDTF">2019-10-05T11:15:00Z</dcterms:created>
  <dcterms:modified xsi:type="dcterms:W3CDTF">2020-07-08T13:56:00Z</dcterms:modified>
</cp:coreProperties>
</file>