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1C75" w14:textId="0BF9C238" w:rsidR="00757D4E" w:rsidRPr="00BD2636" w:rsidRDefault="00757D4E" w:rsidP="00940E75">
      <w:pPr>
        <w:pStyle w:val="Nadpis5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D2636">
        <w:rPr>
          <w:rFonts w:ascii="Times New Roman" w:hAnsi="Times New Roman" w:cs="Times New Roman"/>
          <w:szCs w:val="24"/>
        </w:rPr>
        <w:t xml:space="preserve">Příloha č. </w:t>
      </w:r>
      <w:r w:rsidR="003D471A">
        <w:rPr>
          <w:rFonts w:ascii="Times New Roman" w:hAnsi="Times New Roman" w:cs="Times New Roman"/>
          <w:szCs w:val="24"/>
        </w:rPr>
        <w:t xml:space="preserve">9 </w:t>
      </w:r>
      <w:r w:rsidRPr="00BD2636">
        <w:rPr>
          <w:rFonts w:ascii="Times New Roman" w:hAnsi="Times New Roman" w:cs="Times New Roman"/>
          <w:szCs w:val="24"/>
        </w:rPr>
        <w:t xml:space="preserve">Pokynu Zprostředkovatele Programu Vnitřní věci pro příjemce grantu </w:t>
      </w:r>
      <w:r w:rsidR="004131F6">
        <w:rPr>
          <w:rFonts w:ascii="Times New Roman" w:hAnsi="Times New Roman" w:cs="Times New Roman"/>
          <w:szCs w:val="24"/>
        </w:rPr>
        <w:t>v rámci MGS</w:t>
      </w:r>
    </w:p>
    <w:p w14:paraId="5F941C76" w14:textId="77777777" w:rsidR="00757D4E" w:rsidRPr="00BD2636" w:rsidRDefault="00757D4E" w:rsidP="00940E75">
      <w:pPr>
        <w:pStyle w:val="Nadpis2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F941C77" w14:textId="7BE525D8" w:rsidR="00757D4E" w:rsidRDefault="00757D4E" w:rsidP="00940E75">
      <w:pPr>
        <w:pStyle w:val="Nadpis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636">
        <w:rPr>
          <w:rFonts w:ascii="Times New Roman" w:hAnsi="Times New Roman" w:cs="Times New Roman"/>
          <w:sz w:val="24"/>
          <w:szCs w:val="24"/>
        </w:rPr>
        <w:t>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2FF">
        <w:rPr>
          <w:rFonts w:ascii="Times New Roman" w:hAnsi="Times New Roman" w:cs="Times New Roman"/>
          <w:sz w:val="24"/>
          <w:szCs w:val="24"/>
        </w:rPr>
        <w:t xml:space="preserve">snížených </w:t>
      </w:r>
      <w:r>
        <w:rPr>
          <w:rFonts w:ascii="Times New Roman" w:hAnsi="Times New Roman" w:cs="Times New Roman"/>
          <w:sz w:val="24"/>
          <w:szCs w:val="24"/>
        </w:rPr>
        <w:t>odvodů</w:t>
      </w:r>
      <w:r w:rsidRPr="00BD2636">
        <w:rPr>
          <w:rFonts w:ascii="Times New Roman" w:hAnsi="Times New Roman" w:cs="Times New Roman"/>
          <w:sz w:val="24"/>
          <w:szCs w:val="24"/>
        </w:rPr>
        <w:t>, které se použijí pro výdaje financované z</w:t>
      </w:r>
      <w:r w:rsidR="00940E75">
        <w:rPr>
          <w:rFonts w:ascii="Times New Roman" w:hAnsi="Times New Roman" w:cs="Times New Roman"/>
          <w:sz w:val="24"/>
          <w:szCs w:val="24"/>
        </w:rPr>
        <w:t xml:space="preserve"> </w:t>
      </w:r>
      <w:r w:rsidRPr="00BD2636">
        <w:rPr>
          <w:rFonts w:ascii="Times New Roman" w:hAnsi="Times New Roman" w:cs="Times New Roman"/>
          <w:sz w:val="24"/>
          <w:szCs w:val="24"/>
        </w:rPr>
        <w:t xml:space="preserve">Finančního mechanizmu Norska 2014 – 2021 </w:t>
      </w:r>
      <w:r w:rsidR="000872FF">
        <w:rPr>
          <w:rFonts w:ascii="Times New Roman" w:hAnsi="Times New Roman" w:cs="Times New Roman"/>
          <w:sz w:val="24"/>
          <w:szCs w:val="24"/>
        </w:rPr>
        <w:t xml:space="preserve">v případě porušení </w:t>
      </w:r>
      <w:r w:rsidR="00FA2B30">
        <w:rPr>
          <w:rFonts w:ascii="Times New Roman" w:hAnsi="Times New Roman" w:cs="Times New Roman"/>
          <w:sz w:val="24"/>
          <w:szCs w:val="24"/>
        </w:rPr>
        <w:t xml:space="preserve">povinností při zadávání veřejných zakázek </w:t>
      </w:r>
      <w:r w:rsidR="004131F6">
        <w:rPr>
          <w:rFonts w:ascii="Times New Roman" w:hAnsi="Times New Roman" w:cs="Times New Roman"/>
          <w:sz w:val="24"/>
          <w:szCs w:val="24"/>
        </w:rPr>
        <w:t>v rámci malého grantového schématu</w:t>
      </w:r>
    </w:p>
    <w:p w14:paraId="5F941C78" w14:textId="7A7F55EA" w:rsidR="00196370" w:rsidRDefault="00196370" w:rsidP="00196370"/>
    <w:p w14:paraId="020FF955" w14:textId="77777777" w:rsidR="00940E75" w:rsidRPr="00196370" w:rsidRDefault="00940E75" w:rsidP="00196370"/>
    <w:p w14:paraId="5F941C79" w14:textId="77777777" w:rsidR="00196370" w:rsidRDefault="00196370" w:rsidP="00196370">
      <w:pPr>
        <w:pStyle w:val="Nadpis2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D2636">
        <w:rPr>
          <w:rFonts w:ascii="Times New Roman" w:hAnsi="Times New Roman" w:cs="Times New Roman"/>
          <w:sz w:val="24"/>
          <w:szCs w:val="24"/>
        </w:rPr>
        <w:t xml:space="preserve">Úvodní ustanovení </w:t>
      </w:r>
    </w:p>
    <w:p w14:paraId="5F941C7A" w14:textId="77777777" w:rsidR="00757D4E" w:rsidRPr="00BD2636" w:rsidRDefault="00757D4E" w:rsidP="00757D4E">
      <w:pPr>
        <w:pStyle w:val="Nadpis5"/>
        <w:rPr>
          <w:rFonts w:ascii="Times New Roman" w:hAnsi="Times New Roman" w:cs="Times New Roman"/>
          <w:szCs w:val="24"/>
        </w:rPr>
      </w:pPr>
    </w:p>
    <w:p w14:paraId="5F941C7B" w14:textId="1A86DE3C" w:rsidR="00757D4E" w:rsidRDefault="00757D4E" w:rsidP="00757D4E">
      <w:pPr>
        <w:spacing w:after="120"/>
        <w:ind w:right="-2"/>
        <w:jc w:val="both"/>
        <w:rPr>
          <w:rFonts w:cs="Times New Roman"/>
          <w:snapToGrid w:val="0"/>
          <w:szCs w:val="24"/>
        </w:rPr>
      </w:pPr>
      <w:r>
        <w:rPr>
          <w:rFonts w:cs="Times New Roman"/>
          <w:snapToGrid w:val="0"/>
          <w:szCs w:val="24"/>
        </w:rPr>
        <w:t>V</w:t>
      </w:r>
      <w:r w:rsidRPr="00BD2636">
        <w:rPr>
          <w:rFonts w:cs="Times New Roman"/>
          <w:snapToGrid w:val="0"/>
          <w:szCs w:val="24"/>
        </w:rPr>
        <w:t> případě, že dojde k porušení povinností týkajících se zadávání zakázek stanovených právním aktem</w:t>
      </w:r>
      <w:r w:rsidR="00CC75A0">
        <w:rPr>
          <w:rFonts w:cs="Times New Roman"/>
          <w:snapToGrid w:val="0"/>
          <w:szCs w:val="24"/>
        </w:rPr>
        <w:t xml:space="preserve"> a jeho podmínkami</w:t>
      </w:r>
      <w:r w:rsidRPr="00BD2636">
        <w:rPr>
          <w:rFonts w:cs="Times New Roman"/>
          <w:snapToGrid w:val="0"/>
          <w:szCs w:val="24"/>
        </w:rPr>
        <w:t>, bude odvod za porušení rozpočtové kázně vyměřen dle §</w:t>
      </w:r>
      <w:r w:rsidR="00E73DCD">
        <w:rPr>
          <w:rFonts w:cs="Times New Roman"/>
          <w:snapToGrid w:val="0"/>
          <w:szCs w:val="24"/>
        </w:rPr>
        <w:t>14</w:t>
      </w:r>
      <w:r w:rsidRPr="00BD2636">
        <w:rPr>
          <w:rFonts w:cs="Times New Roman"/>
          <w:snapToGrid w:val="0"/>
          <w:szCs w:val="24"/>
        </w:rPr>
        <w:t xml:space="preserve"> odst. </w:t>
      </w:r>
      <w:r w:rsidR="00E73DCD">
        <w:rPr>
          <w:rFonts w:cs="Times New Roman"/>
          <w:snapToGrid w:val="0"/>
          <w:szCs w:val="24"/>
        </w:rPr>
        <w:t>5</w:t>
      </w:r>
      <w:r w:rsidRPr="00BD2636">
        <w:rPr>
          <w:rFonts w:cs="Times New Roman"/>
          <w:snapToGrid w:val="0"/>
          <w:szCs w:val="24"/>
        </w:rPr>
        <w:t xml:space="preserve"> rozpočtových pravidel, ve výši stanovené za porušení dané povinnosti v tabulce </w:t>
      </w:r>
      <w:r w:rsidR="00E73DCD">
        <w:t xml:space="preserve">snížených odvodů za porušení rozpočtové kázně podle této </w:t>
      </w:r>
      <w:r w:rsidRPr="00BD2636">
        <w:rPr>
          <w:rFonts w:cs="Times New Roman"/>
          <w:snapToGrid w:val="0"/>
          <w:szCs w:val="24"/>
        </w:rPr>
        <w:t>Příloh</w:t>
      </w:r>
      <w:r w:rsidR="00E73DCD">
        <w:rPr>
          <w:rFonts w:cs="Times New Roman"/>
          <w:snapToGrid w:val="0"/>
          <w:szCs w:val="24"/>
        </w:rPr>
        <w:t>y</w:t>
      </w:r>
      <w:r w:rsidRPr="00BD2636">
        <w:rPr>
          <w:rFonts w:cs="Times New Roman"/>
          <w:snapToGrid w:val="0"/>
          <w:szCs w:val="24"/>
        </w:rPr>
        <w:t xml:space="preserve"> Pokynu pro příjemce.</w:t>
      </w:r>
    </w:p>
    <w:p w14:paraId="5F941C7C" w14:textId="6BD3819C" w:rsidR="00196370" w:rsidRDefault="00196370" w:rsidP="00196370">
      <w:pPr>
        <w:spacing w:after="120"/>
        <w:ind w:right="-2"/>
        <w:jc w:val="both"/>
        <w:rPr>
          <w:rFonts w:cs="Times New Roman"/>
          <w:snapToGrid w:val="0"/>
          <w:szCs w:val="24"/>
        </w:rPr>
      </w:pPr>
      <w:r w:rsidRPr="00C974DD">
        <w:rPr>
          <w:rFonts w:cs="Times New Roman"/>
          <w:snapToGrid w:val="0"/>
          <w:szCs w:val="24"/>
        </w:rPr>
        <w:t xml:space="preserve">Pokud je možné přesně vyčíslit finanční dopad identifikovaného porušení, bude </w:t>
      </w:r>
      <w:r>
        <w:rPr>
          <w:rFonts w:cs="Times New Roman"/>
          <w:snapToGrid w:val="0"/>
          <w:szCs w:val="24"/>
        </w:rPr>
        <w:t xml:space="preserve">výše odvodu </w:t>
      </w:r>
      <w:r w:rsidR="00940E75">
        <w:rPr>
          <w:rFonts w:cs="Times New Roman"/>
          <w:snapToGrid w:val="0"/>
          <w:szCs w:val="24"/>
        </w:rPr>
        <w:br/>
      </w:r>
      <w:r>
        <w:rPr>
          <w:rFonts w:cs="Times New Roman"/>
          <w:snapToGrid w:val="0"/>
          <w:szCs w:val="24"/>
        </w:rPr>
        <w:t xml:space="preserve">za porušení rozpočtové kázně </w:t>
      </w:r>
      <w:r w:rsidRPr="00C974DD">
        <w:rPr>
          <w:rFonts w:cs="Times New Roman"/>
          <w:snapToGrid w:val="0"/>
          <w:szCs w:val="24"/>
        </w:rPr>
        <w:t>stanoven</w:t>
      </w:r>
      <w:r w:rsidR="002A195D">
        <w:rPr>
          <w:rFonts w:cs="Times New Roman"/>
          <w:snapToGrid w:val="0"/>
          <w:szCs w:val="24"/>
        </w:rPr>
        <w:t>a</w:t>
      </w:r>
      <w:r w:rsidRPr="00C974DD">
        <w:rPr>
          <w:rFonts w:cs="Times New Roman"/>
          <w:snapToGrid w:val="0"/>
          <w:szCs w:val="24"/>
        </w:rPr>
        <w:t xml:space="preserve"> ve výši vyčísleného finančního dopadu. </w:t>
      </w:r>
    </w:p>
    <w:p w14:paraId="5F941C7D" w14:textId="77777777" w:rsidR="00520F5B" w:rsidRDefault="00520F5B" w:rsidP="00520F5B">
      <w:pPr>
        <w:spacing w:after="120"/>
        <w:ind w:right="-2"/>
        <w:jc w:val="both"/>
        <w:rPr>
          <w:rFonts w:cs="Times New Roman"/>
          <w:snapToGrid w:val="0"/>
          <w:szCs w:val="24"/>
        </w:rPr>
      </w:pPr>
      <w:r w:rsidRPr="00C974DD">
        <w:rPr>
          <w:rFonts w:cs="Times New Roman"/>
          <w:snapToGrid w:val="0"/>
          <w:szCs w:val="24"/>
        </w:rPr>
        <w:t xml:space="preserve">V případě, že bude identifikováno porušení, které nelze podřadit pod konkrétní typ porušení uvedenou v tabulce </w:t>
      </w:r>
      <w:r>
        <w:rPr>
          <w:rFonts w:cs="Times New Roman"/>
          <w:snapToGrid w:val="0"/>
          <w:szCs w:val="24"/>
        </w:rPr>
        <w:t xml:space="preserve">snížených odvodů </w:t>
      </w:r>
      <w:r w:rsidRPr="00C974DD">
        <w:rPr>
          <w:rFonts w:cs="Times New Roman"/>
          <w:snapToGrid w:val="0"/>
          <w:szCs w:val="24"/>
        </w:rPr>
        <w:t>v této Příloze,</w:t>
      </w:r>
      <w:r>
        <w:rPr>
          <w:rFonts w:cs="Times New Roman"/>
          <w:snapToGrid w:val="0"/>
          <w:szCs w:val="24"/>
        </w:rPr>
        <w:t xml:space="preserve"> bude stanoven odvod </w:t>
      </w:r>
      <w:r w:rsidRPr="00C974DD">
        <w:rPr>
          <w:rFonts w:cs="Times New Roman"/>
          <w:snapToGrid w:val="0"/>
          <w:szCs w:val="24"/>
        </w:rPr>
        <w:t>dle zásady přiměřenosti.</w:t>
      </w:r>
    </w:p>
    <w:p w14:paraId="5F941C7E" w14:textId="2E350301" w:rsidR="00B22CF3" w:rsidRPr="00B22CF3" w:rsidRDefault="002A195D" w:rsidP="00B22CF3">
      <w:pPr>
        <w:spacing w:after="120"/>
        <w:ind w:right="-2"/>
        <w:jc w:val="both"/>
        <w:rPr>
          <w:rFonts w:cs="Times New Roman"/>
          <w:snapToGrid w:val="0"/>
          <w:szCs w:val="24"/>
        </w:rPr>
      </w:pPr>
      <w:r>
        <w:rPr>
          <w:rFonts w:cs="Times New Roman"/>
          <w:snapToGrid w:val="0"/>
          <w:szCs w:val="24"/>
        </w:rPr>
        <w:t xml:space="preserve">Výše </w:t>
      </w:r>
      <w:r w:rsidR="00B22CF3" w:rsidRPr="00B22CF3">
        <w:rPr>
          <w:rFonts w:cs="Times New Roman"/>
          <w:snapToGrid w:val="0"/>
          <w:szCs w:val="24"/>
        </w:rPr>
        <w:t xml:space="preserve">sníženého odvodu se </w:t>
      </w:r>
      <w:r>
        <w:rPr>
          <w:rFonts w:cs="Times New Roman"/>
          <w:snapToGrid w:val="0"/>
          <w:szCs w:val="24"/>
        </w:rPr>
        <w:t xml:space="preserve">vypočítá </w:t>
      </w:r>
      <w:r w:rsidR="00B22CF3" w:rsidRPr="00B22CF3">
        <w:rPr>
          <w:rFonts w:cs="Times New Roman"/>
          <w:snapToGrid w:val="0"/>
          <w:szCs w:val="24"/>
        </w:rPr>
        <w:t>z</w:t>
      </w:r>
      <w:r>
        <w:rPr>
          <w:rFonts w:cs="Times New Roman"/>
          <w:snapToGrid w:val="0"/>
          <w:szCs w:val="24"/>
        </w:rPr>
        <w:t> </w:t>
      </w:r>
      <w:r w:rsidR="00B22CF3" w:rsidRPr="00B22CF3">
        <w:rPr>
          <w:rFonts w:cs="Times New Roman"/>
          <w:snapToGrid w:val="0"/>
          <w:szCs w:val="24"/>
        </w:rPr>
        <w:t>částky</w:t>
      </w:r>
      <w:r>
        <w:rPr>
          <w:rFonts w:cs="Times New Roman"/>
          <w:snapToGrid w:val="0"/>
          <w:szCs w:val="24"/>
        </w:rPr>
        <w:t xml:space="preserve">, </w:t>
      </w:r>
      <w:r w:rsidRPr="00BD2636">
        <w:rPr>
          <w:rFonts w:cs="Times New Roman"/>
          <w:snapToGrid w:val="0"/>
          <w:szCs w:val="24"/>
        </w:rPr>
        <w:t xml:space="preserve">která byla </w:t>
      </w:r>
      <w:r>
        <w:rPr>
          <w:rFonts w:cs="Times New Roman"/>
          <w:snapToGrid w:val="0"/>
          <w:szCs w:val="24"/>
        </w:rPr>
        <w:t xml:space="preserve">nebo má být </w:t>
      </w:r>
      <w:r w:rsidRPr="00BD2636">
        <w:rPr>
          <w:rFonts w:cs="Times New Roman"/>
          <w:snapToGrid w:val="0"/>
          <w:szCs w:val="24"/>
        </w:rPr>
        <w:t>z</w:t>
      </w:r>
      <w:r>
        <w:rPr>
          <w:rFonts w:cs="Times New Roman"/>
          <w:snapToGrid w:val="0"/>
          <w:szCs w:val="24"/>
        </w:rPr>
        <w:t xml:space="preserve"> prostředků </w:t>
      </w:r>
      <w:r w:rsidRPr="00BD2636">
        <w:rPr>
          <w:rFonts w:cs="Times New Roman"/>
          <w:snapToGrid w:val="0"/>
          <w:szCs w:val="24"/>
        </w:rPr>
        <w:t> Finančního mechanizmu Norska 2014 – 2021 poskytnuta v souvislosti s</w:t>
      </w:r>
      <w:r>
        <w:rPr>
          <w:rFonts w:cs="Times New Roman"/>
          <w:snapToGrid w:val="0"/>
          <w:szCs w:val="24"/>
        </w:rPr>
        <w:t xml:space="preserve"> konkrétním </w:t>
      </w:r>
      <w:r w:rsidRPr="00BD2636">
        <w:rPr>
          <w:rFonts w:cs="Times New Roman"/>
          <w:snapToGrid w:val="0"/>
          <w:szCs w:val="24"/>
        </w:rPr>
        <w:t>porušení</w:t>
      </w:r>
      <w:r>
        <w:rPr>
          <w:rFonts w:cs="Times New Roman"/>
          <w:snapToGrid w:val="0"/>
          <w:szCs w:val="24"/>
        </w:rPr>
        <w:t>m</w:t>
      </w:r>
      <w:r w:rsidRPr="00BD2636">
        <w:rPr>
          <w:rFonts w:cs="Times New Roman"/>
          <w:snapToGrid w:val="0"/>
          <w:szCs w:val="24"/>
        </w:rPr>
        <w:t xml:space="preserve"> pravidla.</w:t>
      </w:r>
      <w:r w:rsidR="00B22CF3" w:rsidRPr="00B22CF3">
        <w:rPr>
          <w:rFonts w:cs="Times New Roman"/>
          <w:snapToGrid w:val="0"/>
          <w:szCs w:val="24"/>
        </w:rPr>
        <w:t xml:space="preserve"> Bližší pravidla pro stanovení sazby sníženého odvodu jsou uvedena u jednotlivých bodů. Sazba sníženého odvodu u veřejných zakázek a VZMR se stanovuje z částky poskytnutých finančních prostředků použitých na financování předmětné veřejné zakázky nebo VZMR nebo částky nárokované </w:t>
      </w:r>
      <w:r w:rsidR="00940E75">
        <w:rPr>
          <w:rFonts w:cs="Times New Roman"/>
          <w:snapToGrid w:val="0"/>
          <w:szCs w:val="24"/>
        </w:rPr>
        <w:br/>
      </w:r>
      <w:r w:rsidR="00B22CF3" w:rsidRPr="00B22CF3">
        <w:rPr>
          <w:rFonts w:cs="Times New Roman"/>
          <w:snapToGrid w:val="0"/>
          <w:szCs w:val="24"/>
        </w:rPr>
        <w:t>k proplacení v souvislosti s předmětnou veřejnou zakázkou nebo VZMR.</w:t>
      </w:r>
    </w:p>
    <w:p w14:paraId="5F941C7F" w14:textId="77777777" w:rsidR="00757D4E" w:rsidRDefault="00757D4E" w:rsidP="00757D4E">
      <w:pPr>
        <w:spacing w:after="120"/>
        <w:ind w:right="-2"/>
        <w:jc w:val="both"/>
        <w:rPr>
          <w:rFonts w:cs="Times New Roman"/>
          <w:snapToGrid w:val="0"/>
          <w:szCs w:val="24"/>
        </w:rPr>
      </w:pPr>
      <w:r w:rsidRPr="00BD2636">
        <w:rPr>
          <w:rFonts w:cs="Times New Roman"/>
          <w:snapToGrid w:val="0"/>
          <w:szCs w:val="24"/>
        </w:rPr>
        <w:t xml:space="preserve">Vyskytne-li se v jednom zadávacím (výběrovém) řízení více </w:t>
      </w:r>
      <w:r>
        <w:rPr>
          <w:rFonts w:cs="Times New Roman"/>
          <w:snapToGrid w:val="0"/>
          <w:szCs w:val="24"/>
        </w:rPr>
        <w:t>pochybení</w:t>
      </w:r>
      <w:r w:rsidRPr="00BD2636">
        <w:rPr>
          <w:rFonts w:cs="Times New Roman"/>
          <w:snapToGrid w:val="0"/>
          <w:szCs w:val="24"/>
        </w:rPr>
        <w:t xml:space="preserve">, sazby </w:t>
      </w:r>
      <w:r w:rsidR="00914C4B">
        <w:rPr>
          <w:rFonts w:cs="Times New Roman"/>
          <w:snapToGrid w:val="0"/>
          <w:szCs w:val="24"/>
        </w:rPr>
        <w:t xml:space="preserve">snížených odvodů </w:t>
      </w:r>
      <w:r w:rsidRPr="00BD2636">
        <w:rPr>
          <w:rFonts w:cs="Times New Roman"/>
          <w:snapToGrid w:val="0"/>
          <w:szCs w:val="24"/>
        </w:rPr>
        <w:t>se nesčítají, ale při rozhodování o sazbě (5 %,</w:t>
      </w:r>
      <w:r>
        <w:rPr>
          <w:rFonts w:cs="Times New Roman"/>
          <w:snapToGrid w:val="0"/>
          <w:szCs w:val="24"/>
        </w:rPr>
        <w:t xml:space="preserve"> </w:t>
      </w:r>
      <w:r w:rsidRPr="00BD2636">
        <w:rPr>
          <w:rFonts w:cs="Times New Roman"/>
          <w:snapToGrid w:val="0"/>
          <w:szCs w:val="24"/>
        </w:rPr>
        <w:t>10 %, 25 % nebo 100 %) se zohlední nejzávažnější porušení.</w:t>
      </w:r>
    </w:p>
    <w:p w14:paraId="5F941C80" w14:textId="3A58EE30" w:rsidR="00757D4E" w:rsidRPr="00C974DD" w:rsidRDefault="00757D4E" w:rsidP="00757D4E">
      <w:pPr>
        <w:spacing w:after="120"/>
        <w:ind w:right="-2"/>
        <w:jc w:val="both"/>
        <w:rPr>
          <w:rFonts w:cs="Times New Roman"/>
          <w:snapToGrid w:val="0"/>
          <w:szCs w:val="24"/>
        </w:rPr>
      </w:pPr>
      <w:r w:rsidRPr="00C974DD">
        <w:rPr>
          <w:rFonts w:cs="Times New Roman"/>
          <w:snapToGrid w:val="0"/>
          <w:szCs w:val="24"/>
        </w:rPr>
        <w:t xml:space="preserve">Závažnost porušení je posuzována zejména </w:t>
      </w:r>
      <w:r w:rsidR="00196370" w:rsidRPr="00C974DD">
        <w:rPr>
          <w:rFonts w:cs="Times New Roman"/>
          <w:snapToGrid w:val="0"/>
          <w:szCs w:val="24"/>
        </w:rPr>
        <w:t>z</w:t>
      </w:r>
      <w:r w:rsidR="00CC75A0">
        <w:rPr>
          <w:rFonts w:cs="Times New Roman"/>
          <w:snapToGrid w:val="0"/>
          <w:szCs w:val="24"/>
        </w:rPr>
        <w:t> </w:t>
      </w:r>
      <w:r w:rsidR="00196370" w:rsidRPr="00C974DD">
        <w:rPr>
          <w:rFonts w:cs="Times New Roman"/>
          <w:snapToGrid w:val="0"/>
          <w:szCs w:val="24"/>
        </w:rPr>
        <w:t>hlediska</w:t>
      </w:r>
      <w:r w:rsidR="00CC75A0">
        <w:rPr>
          <w:rFonts w:cs="Times New Roman"/>
          <w:snapToGrid w:val="0"/>
          <w:szCs w:val="24"/>
        </w:rPr>
        <w:t xml:space="preserve"> </w:t>
      </w:r>
      <w:r w:rsidR="00CC75A0" w:rsidRPr="00C974DD">
        <w:rPr>
          <w:rFonts w:cs="Times New Roman"/>
          <w:snapToGrid w:val="0"/>
          <w:szCs w:val="24"/>
        </w:rPr>
        <w:t>jeho skutečného nebo možného vlivu na výsledek výběrového/zadávacího řízen</w:t>
      </w:r>
      <w:r w:rsidR="00CC75A0">
        <w:rPr>
          <w:rFonts w:cs="Times New Roman"/>
          <w:snapToGrid w:val="0"/>
          <w:szCs w:val="24"/>
        </w:rPr>
        <w:t xml:space="preserve">í, z hlediska míry </w:t>
      </w:r>
      <w:r w:rsidR="00CC75A0" w:rsidRPr="00C974DD">
        <w:rPr>
          <w:rFonts w:cs="Times New Roman"/>
          <w:snapToGrid w:val="0"/>
          <w:szCs w:val="24"/>
        </w:rPr>
        <w:t xml:space="preserve">porušení základních zásad zadávání veřejných zakázek </w:t>
      </w:r>
      <w:r w:rsidR="00CC75A0">
        <w:rPr>
          <w:rFonts w:cs="Times New Roman"/>
          <w:snapToGrid w:val="0"/>
          <w:szCs w:val="24"/>
        </w:rPr>
        <w:t xml:space="preserve">a </w:t>
      </w:r>
      <w:r w:rsidR="00CC75A0" w:rsidRPr="00C974DD">
        <w:rPr>
          <w:rFonts w:cs="Times New Roman"/>
          <w:snapToGrid w:val="0"/>
          <w:szCs w:val="24"/>
        </w:rPr>
        <w:t>z hlediska</w:t>
      </w:r>
      <w:r w:rsidR="00196370" w:rsidRPr="00C974DD">
        <w:rPr>
          <w:rFonts w:cs="Times New Roman"/>
          <w:snapToGrid w:val="0"/>
          <w:szCs w:val="24"/>
        </w:rPr>
        <w:t xml:space="preserve"> míry </w:t>
      </w:r>
      <w:r w:rsidR="00520F5B" w:rsidRPr="00C974DD">
        <w:rPr>
          <w:rFonts w:cs="Times New Roman"/>
          <w:snapToGrid w:val="0"/>
          <w:szCs w:val="24"/>
        </w:rPr>
        <w:t>porušení principů hospodárnosti, efektivity a účelnosti při vynakládání veřejných prostředků</w:t>
      </w:r>
      <w:r w:rsidR="00520F5B">
        <w:rPr>
          <w:rFonts w:cs="Times New Roman"/>
          <w:snapToGrid w:val="0"/>
          <w:szCs w:val="24"/>
        </w:rPr>
        <w:t xml:space="preserve">. </w:t>
      </w:r>
      <w:r w:rsidRPr="00C974DD">
        <w:rPr>
          <w:rFonts w:cs="Times New Roman"/>
          <w:snapToGrid w:val="0"/>
          <w:szCs w:val="24"/>
        </w:rPr>
        <w:t xml:space="preserve">Porušení je nutno považovat za závažné především v případech, kdy v jeho důsledku došlo k odrazení potenciálních uchazečů od účasti ve výběrovém/zadávacím řízení nebo k zadání veřejné zakázky jinému uchazeči, než kterému měla být zadána. </w:t>
      </w:r>
    </w:p>
    <w:p w14:paraId="5F941C81" w14:textId="77777777" w:rsidR="00914C4B" w:rsidRDefault="00914C4B" w:rsidP="00914C4B">
      <w:pPr>
        <w:spacing w:after="120"/>
        <w:ind w:right="-2"/>
        <w:jc w:val="both"/>
        <w:rPr>
          <w:rFonts w:cs="Times New Roman"/>
          <w:snapToGrid w:val="0"/>
          <w:szCs w:val="24"/>
        </w:rPr>
      </w:pPr>
      <w:r w:rsidRPr="00BD2636">
        <w:rPr>
          <w:rFonts w:cs="Times New Roman"/>
          <w:snapToGrid w:val="0"/>
          <w:szCs w:val="24"/>
        </w:rPr>
        <w:t>V případě, kdy je porušení pravidel pro zadávání veřejných zakázek pouze formální povahy bez skutečného nebo potenciálního finančního dopadu, nebude proveden</w:t>
      </w:r>
      <w:r>
        <w:rPr>
          <w:rFonts w:cs="Times New Roman"/>
          <w:snapToGrid w:val="0"/>
          <w:szCs w:val="24"/>
        </w:rPr>
        <w:t xml:space="preserve"> žádný odvod</w:t>
      </w:r>
      <w:r w:rsidRPr="00BD2636">
        <w:rPr>
          <w:rFonts w:cs="Times New Roman"/>
          <w:snapToGrid w:val="0"/>
          <w:szCs w:val="24"/>
        </w:rPr>
        <w:t>.</w:t>
      </w:r>
    </w:p>
    <w:p w14:paraId="5F941C82" w14:textId="77777777" w:rsidR="00757D4E" w:rsidRDefault="00757D4E" w:rsidP="00757D4E">
      <w:pPr>
        <w:spacing w:after="120"/>
        <w:ind w:right="-2"/>
        <w:jc w:val="both"/>
        <w:rPr>
          <w:rFonts w:cs="Times New Roman"/>
          <w:snapToGrid w:val="0"/>
          <w:szCs w:val="24"/>
        </w:rPr>
      </w:pPr>
      <w:r w:rsidRPr="00BD2636">
        <w:rPr>
          <w:rFonts w:cs="Times New Roman"/>
          <w:snapToGrid w:val="0"/>
          <w:szCs w:val="24"/>
        </w:rPr>
        <w:t xml:space="preserve">V případech, kdy k porušení dochází v důsledku podvodu nebo trestného činu, jež byl zjištěn příslušným soudním orgánem nebo příslušným orgánem EU nebo vnitrostátním orgánem na základě důkazních prvků dokládajících přítomnost podvodných nesrovnalostí, použije se vždy </w:t>
      </w:r>
      <w:r w:rsidR="00762CD2">
        <w:rPr>
          <w:rFonts w:cs="Times New Roman"/>
          <w:snapToGrid w:val="0"/>
          <w:szCs w:val="24"/>
        </w:rPr>
        <w:t>odvod</w:t>
      </w:r>
      <w:r w:rsidRPr="00BD2636">
        <w:rPr>
          <w:rFonts w:cs="Times New Roman"/>
          <w:snapToGrid w:val="0"/>
          <w:szCs w:val="24"/>
        </w:rPr>
        <w:t xml:space="preserve"> ve výši 100 %.</w:t>
      </w:r>
    </w:p>
    <w:p w14:paraId="5F941C83" w14:textId="77777777" w:rsidR="00D72596" w:rsidRDefault="00D72596" w:rsidP="00757D4E">
      <w:pPr>
        <w:pStyle w:val="Nadpis2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5F941C84" w14:textId="77777777" w:rsidR="00757D4E" w:rsidRPr="00D72596" w:rsidRDefault="00757D4E" w:rsidP="00757D4E">
      <w:pPr>
        <w:pStyle w:val="Nadpis2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72596">
        <w:rPr>
          <w:rFonts w:ascii="Times New Roman" w:hAnsi="Times New Roman" w:cs="Times New Roman"/>
          <w:sz w:val="24"/>
          <w:szCs w:val="24"/>
        </w:rPr>
        <w:t>Postup v závislosti na proplacení výdaje:</w:t>
      </w:r>
    </w:p>
    <w:p w14:paraId="5F941C85" w14:textId="77777777" w:rsidR="00757D4E" w:rsidRPr="00330ED4" w:rsidRDefault="00757D4E" w:rsidP="00757D4E">
      <w:pPr>
        <w:spacing w:after="120"/>
        <w:ind w:right="-2"/>
        <w:jc w:val="both"/>
        <w:rPr>
          <w:rFonts w:cs="Times New Roman"/>
          <w:snapToGrid w:val="0"/>
          <w:szCs w:val="24"/>
        </w:rPr>
      </w:pPr>
    </w:p>
    <w:p w14:paraId="5F941C86" w14:textId="77777777" w:rsidR="00757D4E" w:rsidRPr="00940E75" w:rsidRDefault="00757D4E" w:rsidP="00757D4E">
      <w:pPr>
        <w:spacing w:after="120"/>
        <w:ind w:right="-2"/>
        <w:jc w:val="both"/>
        <w:rPr>
          <w:rFonts w:cs="Times New Roman"/>
          <w:snapToGrid w:val="0"/>
          <w:szCs w:val="24"/>
          <w:u w:val="single"/>
        </w:rPr>
      </w:pPr>
      <w:r w:rsidRPr="00940E75">
        <w:rPr>
          <w:rFonts w:cs="Times New Roman"/>
          <w:snapToGrid w:val="0"/>
          <w:szCs w:val="24"/>
          <w:u w:val="single"/>
        </w:rPr>
        <w:t>Zjištění před uskutečněním veřejného výdaje:</w:t>
      </w:r>
    </w:p>
    <w:p w14:paraId="5F941C87" w14:textId="22DE5C09" w:rsidR="00757D4E" w:rsidRPr="00330ED4" w:rsidRDefault="00757D4E" w:rsidP="00757D4E">
      <w:pPr>
        <w:spacing w:after="120"/>
        <w:ind w:right="-2"/>
        <w:jc w:val="both"/>
        <w:rPr>
          <w:rFonts w:cs="Times New Roman"/>
          <w:snapToGrid w:val="0"/>
          <w:szCs w:val="24"/>
        </w:rPr>
      </w:pPr>
      <w:r w:rsidRPr="00330ED4">
        <w:rPr>
          <w:rFonts w:cs="Times New Roman"/>
          <w:snapToGrid w:val="0"/>
          <w:szCs w:val="24"/>
        </w:rPr>
        <w:t>V případě, že je v průběhu kontroly zadávacího řízení na dodavatele před vyplacením veřejného výdaje (nejde tedy o porušení rozpočtové kázně) identifikováno kontrolní zjištění v postupu při zadání veřejné zakázky, postupuje se podle níže uvedené tabulky tak, že částka v rámci zakázky stanovených způsobilých výdajů vztahujících se k dané veřejné zakázce je ponížena o procentní část uvedenou v této tabulce</w:t>
      </w:r>
      <w:r w:rsidR="00143A3F">
        <w:rPr>
          <w:rFonts w:cs="Times New Roman"/>
          <w:snapToGrid w:val="0"/>
          <w:szCs w:val="24"/>
        </w:rPr>
        <w:t>, pokud nešlo uvedené zjištění již napravit</w:t>
      </w:r>
      <w:r w:rsidRPr="00330ED4">
        <w:rPr>
          <w:rFonts w:cs="Times New Roman"/>
          <w:snapToGrid w:val="0"/>
          <w:szCs w:val="24"/>
        </w:rPr>
        <w:t>.</w:t>
      </w:r>
      <w:r w:rsidR="00191D1A">
        <w:rPr>
          <w:rFonts w:cs="Times New Roman"/>
          <w:snapToGrid w:val="0"/>
          <w:szCs w:val="24"/>
        </w:rPr>
        <w:t xml:space="preserve"> </w:t>
      </w:r>
    </w:p>
    <w:p w14:paraId="5F941C89" w14:textId="77777777" w:rsidR="00757D4E" w:rsidRPr="00940E75" w:rsidRDefault="00757D4E" w:rsidP="00757D4E">
      <w:pPr>
        <w:spacing w:after="120"/>
        <w:ind w:right="-2"/>
        <w:jc w:val="both"/>
        <w:rPr>
          <w:rFonts w:cs="Times New Roman"/>
          <w:snapToGrid w:val="0"/>
          <w:szCs w:val="24"/>
          <w:u w:val="single"/>
        </w:rPr>
      </w:pPr>
      <w:r w:rsidRPr="00940E75">
        <w:rPr>
          <w:rFonts w:cs="Times New Roman"/>
          <w:snapToGrid w:val="0"/>
          <w:szCs w:val="24"/>
          <w:u w:val="single"/>
        </w:rPr>
        <w:lastRenderedPageBreak/>
        <w:t>Zjištění po uskutečnění veřejného výdaje:</w:t>
      </w:r>
    </w:p>
    <w:p w14:paraId="5F941C8A" w14:textId="6ECC25F7" w:rsidR="00757D4E" w:rsidRPr="00330ED4" w:rsidRDefault="00757D4E" w:rsidP="00757D4E">
      <w:pPr>
        <w:spacing w:after="120"/>
        <w:ind w:right="-2"/>
        <w:jc w:val="both"/>
        <w:rPr>
          <w:rFonts w:cs="Times New Roman"/>
          <w:snapToGrid w:val="0"/>
          <w:szCs w:val="24"/>
        </w:rPr>
      </w:pPr>
      <w:r w:rsidRPr="00330ED4">
        <w:rPr>
          <w:rFonts w:cs="Times New Roman"/>
          <w:snapToGrid w:val="0"/>
          <w:szCs w:val="24"/>
        </w:rPr>
        <w:t>V případě, že je v rámci kontroly zjištěno porušení rozpočtové kázně z důvodu porušení podmínek při zadávání veřejné zakázky (bylo tedy zjištěno až po vyplacení části nebo celého veřejného výdaje vztahujícího se k dané zakázce)</w:t>
      </w:r>
      <w:r w:rsidR="00191D1A">
        <w:rPr>
          <w:rFonts w:cs="Times New Roman"/>
          <w:snapToGrid w:val="0"/>
          <w:szCs w:val="24"/>
        </w:rPr>
        <w:t xml:space="preserve">, </w:t>
      </w:r>
      <w:r w:rsidRPr="00BD2636">
        <w:rPr>
          <w:rFonts w:cs="Times New Roman"/>
          <w:snapToGrid w:val="0"/>
          <w:szCs w:val="24"/>
        </w:rPr>
        <w:t>bude odvod za porušení rozpočtové kázně vyměřen dle §</w:t>
      </w:r>
      <w:r w:rsidR="00914C4B">
        <w:rPr>
          <w:rFonts w:cs="Times New Roman"/>
          <w:snapToGrid w:val="0"/>
          <w:szCs w:val="24"/>
        </w:rPr>
        <w:t xml:space="preserve"> 14 odst. 5</w:t>
      </w:r>
      <w:r w:rsidRPr="00BD2636">
        <w:rPr>
          <w:rFonts w:cs="Times New Roman"/>
          <w:snapToGrid w:val="0"/>
          <w:szCs w:val="24"/>
        </w:rPr>
        <w:t xml:space="preserve">) rozpočtových pravidel, ve výši stanovené za porušení dané povinnosti v tabulce </w:t>
      </w:r>
      <w:r w:rsidR="00762CD2">
        <w:rPr>
          <w:rFonts w:cs="Times New Roman"/>
          <w:snapToGrid w:val="0"/>
          <w:szCs w:val="24"/>
        </w:rPr>
        <w:t xml:space="preserve">snížených odvodů </w:t>
      </w:r>
      <w:r w:rsidRPr="00BD2636">
        <w:rPr>
          <w:rFonts w:cs="Times New Roman"/>
          <w:snapToGrid w:val="0"/>
          <w:szCs w:val="24"/>
        </w:rPr>
        <w:t>stanovené touto Přílohou Pokynu pro příjemce</w:t>
      </w:r>
      <w:r>
        <w:rPr>
          <w:rFonts w:cs="Times New Roman"/>
          <w:snapToGrid w:val="0"/>
          <w:szCs w:val="24"/>
        </w:rPr>
        <w:t>.</w:t>
      </w:r>
      <w:r w:rsidR="00D72596">
        <w:rPr>
          <w:rFonts w:cs="Times New Roman"/>
          <w:snapToGrid w:val="0"/>
          <w:szCs w:val="24"/>
        </w:rPr>
        <w:t xml:space="preserve"> </w:t>
      </w:r>
    </w:p>
    <w:p w14:paraId="5F941C8B" w14:textId="77777777" w:rsidR="00DB03F0" w:rsidRDefault="00DB03F0">
      <w:pPr>
        <w:pStyle w:val="Zkladntext"/>
        <w:spacing w:before="10"/>
        <w:rPr>
          <w:rFonts w:ascii="Times New Roman"/>
          <w:sz w:val="23"/>
        </w:rPr>
      </w:pPr>
    </w:p>
    <w:p w14:paraId="5F941C8C" w14:textId="77777777" w:rsidR="00DB03F0" w:rsidRDefault="00DB03F0">
      <w:pPr>
        <w:jc w:val="both"/>
        <w:sectPr w:rsidR="00DB03F0" w:rsidSect="00940E75">
          <w:headerReference w:type="default" r:id="rId10"/>
          <w:footerReference w:type="default" r:id="rId11"/>
          <w:type w:val="continuous"/>
          <w:pgSz w:w="11910" w:h="16840"/>
          <w:pgMar w:top="1559" w:right="1418" w:bottom="1162" w:left="1418" w:header="709" w:footer="970" w:gutter="0"/>
          <w:cols w:space="708"/>
        </w:sectPr>
      </w:pPr>
    </w:p>
    <w:p w14:paraId="5F941C8D" w14:textId="77777777" w:rsidR="00DB03F0" w:rsidRDefault="00EF46BA" w:rsidP="005961CA">
      <w:pPr>
        <w:pStyle w:val="Nadpis11"/>
        <w:tabs>
          <w:tab w:val="left" w:pos="456"/>
        </w:tabs>
        <w:spacing w:before="41"/>
        <w:ind w:left="0" w:firstLine="0"/>
      </w:pPr>
      <w:r>
        <w:lastRenderedPageBreak/>
        <w:t>Typy porušení a sazby snížených odvodů za porušení rozpočtové</w:t>
      </w:r>
      <w:r>
        <w:rPr>
          <w:spacing w:val="-8"/>
        </w:rPr>
        <w:t xml:space="preserve"> </w:t>
      </w:r>
      <w:r>
        <w:t>kázně</w:t>
      </w:r>
    </w:p>
    <w:p w14:paraId="5F941C8E" w14:textId="77777777" w:rsidR="00DB03F0" w:rsidRDefault="00DB03F0">
      <w:pPr>
        <w:pStyle w:val="Zkladntext"/>
        <w:rPr>
          <w:b/>
        </w:rPr>
      </w:pPr>
    </w:p>
    <w:p w14:paraId="5F941C8F" w14:textId="77777777" w:rsidR="00DB03F0" w:rsidRDefault="00EF46BA">
      <w:pPr>
        <w:pStyle w:val="Odstavecseseznamem"/>
        <w:numPr>
          <w:ilvl w:val="1"/>
          <w:numId w:val="1"/>
        </w:numPr>
        <w:tabs>
          <w:tab w:val="left" w:pos="579"/>
        </w:tabs>
        <w:spacing w:before="0"/>
        <w:rPr>
          <w:b/>
          <w:sz w:val="24"/>
        </w:rPr>
      </w:pPr>
      <w:r>
        <w:rPr>
          <w:b/>
          <w:sz w:val="24"/>
        </w:rPr>
        <w:t>Oznámení o zakázce a zadávací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podmínky</w:t>
      </w:r>
    </w:p>
    <w:p w14:paraId="5F941C90" w14:textId="77777777" w:rsidR="00DB03F0" w:rsidRDefault="00DB03F0">
      <w:pPr>
        <w:pStyle w:val="Zkladntex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2"/>
        <w:gridCol w:w="3259"/>
        <w:gridCol w:w="3120"/>
      </w:tblGrid>
      <w:tr w:rsidR="00DB03F0" w14:paraId="5F941C95" w14:textId="77777777">
        <w:trPr>
          <w:trHeight w:val="293"/>
        </w:trPr>
        <w:tc>
          <w:tcPr>
            <w:tcW w:w="674" w:type="dxa"/>
          </w:tcPr>
          <w:p w14:paraId="5F941C91" w14:textId="77777777" w:rsidR="00DB03F0" w:rsidRDefault="00EF46B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Bod</w:t>
            </w:r>
          </w:p>
        </w:tc>
        <w:tc>
          <w:tcPr>
            <w:tcW w:w="2552" w:type="dxa"/>
          </w:tcPr>
          <w:p w14:paraId="5F941C92" w14:textId="77777777" w:rsidR="00DB03F0" w:rsidRDefault="00EF46B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Typ porušení</w:t>
            </w:r>
          </w:p>
        </w:tc>
        <w:tc>
          <w:tcPr>
            <w:tcW w:w="3259" w:type="dxa"/>
          </w:tcPr>
          <w:p w14:paraId="5F941C93" w14:textId="77777777" w:rsidR="00DB03F0" w:rsidRDefault="00EF46B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Popis pochybení</w:t>
            </w:r>
          </w:p>
        </w:tc>
        <w:tc>
          <w:tcPr>
            <w:tcW w:w="3120" w:type="dxa"/>
          </w:tcPr>
          <w:p w14:paraId="5F941C94" w14:textId="77777777" w:rsidR="00DB03F0" w:rsidRDefault="00EF46B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Sazba sníženého odvodu</w:t>
            </w:r>
          </w:p>
        </w:tc>
      </w:tr>
      <w:tr w:rsidR="00DB03F0" w14:paraId="5F941C9A" w14:textId="77777777">
        <w:trPr>
          <w:trHeight w:val="315"/>
        </w:trPr>
        <w:tc>
          <w:tcPr>
            <w:tcW w:w="674" w:type="dxa"/>
            <w:vMerge w:val="restart"/>
          </w:tcPr>
          <w:p w14:paraId="5F941C96" w14:textId="77777777" w:rsidR="00DB03F0" w:rsidRDefault="00EF46B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  <w:vMerge w:val="restart"/>
          </w:tcPr>
          <w:p w14:paraId="5F941C97" w14:textId="77777777" w:rsidR="00DB03F0" w:rsidRDefault="00EF46BA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Nedodržení požadovaného způsobu zahájení</w:t>
            </w:r>
          </w:p>
        </w:tc>
        <w:tc>
          <w:tcPr>
            <w:tcW w:w="3259" w:type="dxa"/>
            <w:vMerge w:val="restart"/>
          </w:tcPr>
          <w:p w14:paraId="5F941C98" w14:textId="77777777" w:rsidR="00DB03F0" w:rsidRDefault="00EF46BA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Zadavatel zadal veřejnou zakázku, aniž by zahájil zadávací řízení v souladu se zákonem</w:t>
            </w:r>
          </w:p>
        </w:tc>
        <w:tc>
          <w:tcPr>
            <w:tcW w:w="3120" w:type="dxa"/>
          </w:tcPr>
          <w:p w14:paraId="5F941C99" w14:textId="77777777" w:rsidR="00DB03F0" w:rsidRDefault="00EF46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DB03F0" w14:paraId="5F941C9F" w14:textId="77777777">
        <w:trPr>
          <w:trHeight w:val="1584"/>
        </w:trPr>
        <w:tc>
          <w:tcPr>
            <w:tcW w:w="674" w:type="dxa"/>
            <w:vMerge/>
            <w:tcBorders>
              <w:top w:val="nil"/>
            </w:tcBorders>
          </w:tcPr>
          <w:p w14:paraId="5F941C9B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C9C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5F941C9D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F941C9E" w14:textId="77777777" w:rsidR="00DB03F0" w:rsidRDefault="00EF46BA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25 %, pokud byla dodržena určitá míra uveřejnění, která umožnila potenciálním dodavatelům přístup k zadávané veřejné zakázce</w:t>
            </w:r>
          </w:p>
        </w:tc>
      </w:tr>
      <w:tr w:rsidR="00DB03F0" w14:paraId="5F941CA5" w14:textId="77777777">
        <w:trPr>
          <w:trHeight w:val="316"/>
        </w:trPr>
        <w:tc>
          <w:tcPr>
            <w:tcW w:w="674" w:type="dxa"/>
            <w:vMerge w:val="restart"/>
          </w:tcPr>
          <w:p w14:paraId="5F941CA0" w14:textId="77777777" w:rsidR="00DB03F0" w:rsidRDefault="00EF46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  <w:vMerge w:val="restart"/>
          </w:tcPr>
          <w:p w14:paraId="5F941CA1" w14:textId="77777777" w:rsidR="00DB03F0" w:rsidRDefault="00EF46BA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Neoprávněné rozdělení předmětu veřejné zakázky/VZMR</w:t>
            </w:r>
          </w:p>
        </w:tc>
        <w:tc>
          <w:tcPr>
            <w:tcW w:w="3259" w:type="dxa"/>
            <w:vMerge w:val="restart"/>
          </w:tcPr>
          <w:p w14:paraId="5F941CA2" w14:textId="77777777" w:rsidR="00DB03F0" w:rsidRDefault="00EF46BA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Zadavatel rozdělil předmět veřejné zakázky tak, že tím došlo ke snížení předpokládané hodnoty pod finanční limity stanovené v ZZVZ; v případě, že tento postup vede až k zadání veřejné zakázky bez jakéhokoli zadávacího řízení, postupuje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14:paraId="5F941CA3" w14:textId="77777777" w:rsidR="00DB03F0" w:rsidRDefault="00EF46B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dle výše uvedeného bodu 1</w:t>
            </w:r>
          </w:p>
        </w:tc>
        <w:tc>
          <w:tcPr>
            <w:tcW w:w="3120" w:type="dxa"/>
          </w:tcPr>
          <w:p w14:paraId="5F941CA4" w14:textId="77777777" w:rsidR="00DB03F0" w:rsidRDefault="00EF46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DB03F0" w14:paraId="5F941CAA" w14:textId="77777777">
        <w:trPr>
          <w:trHeight w:val="2603"/>
        </w:trPr>
        <w:tc>
          <w:tcPr>
            <w:tcW w:w="674" w:type="dxa"/>
            <w:vMerge/>
            <w:tcBorders>
              <w:top w:val="nil"/>
            </w:tcBorders>
          </w:tcPr>
          <w:p w14:paraId="5F941CA6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CA7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5F941CA8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F941CA9" w14:textId="77777777" w:rsidR="00DB03F0" w:rsidRDefault="00EF46BA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25 %, pokud byla dodržena určitá míra uveřejnění, která umožnila možným dodavatelům přístup k zadávané veřejné zakázce</w:t>
            </w:r>
          </w:p>
        </w:tc>
      </w:tr>
      <w:tr w:rsidR="00DB03F0" w14:paraId="5F941CAF" w14:textId="77777777">
        <w:trPr>
          <w:trHeight w:val="1464"/>
        </w:trPr>
        <w:tc>
          <w:tcPr>
            <w:tcW w:w="674" w:type="dxa"/>
            <w:vMerge/>
            <w:tcBorders>
              <w:top w:val="nil"/>
            </w:tcBorders>
          </w:tcPr>
          <w:p w14:paraId="5F941CAB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CAC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5F941CAD" w14:textId="77777777" w:rsidR="00DB03F0" w:rsidRDefault="00EF46BA" w:rsidP="00762CD2">
            <w:pPr>
              <w:pStyle w:val="TableParagraph"/>
              <w:spacing w:line="290" w:lineRule="atLeast"/>
              <w:ind w:left="108" w:right="299"/>
              <w:rPr>
                <w:sz w:val="24"/>
              </w:rPr>
            </w:pPr>
            <w:r>
              <w:rPr>
                <w:sz w:val="24"/>
              </w:rPr>
              <w:t xml:space="preserve">Zadavatel rozdělil předmět VZMR kategorie II na menší zakázky s cílem snížit její hodnotu pod limit stanovený </w:t>
            </w:r>
            <w:r w:rsidR="00762CD2">
              <w:rPr>
                <w:sz w:val="24"/>
              </w:rPr>
              <w:t>pokyn</w:t>
            </w:r>
            <w:r>
              <w:rPr>
                <w:sz w:val="24"/>
              </w:rPr>
              <w:t>em pro VZMR</w:t>
            </w:r>
            <w:r w:rsidR="00762CD2">
              <w:rPr>
                <w:sz w:val="24"/>
              </w:rPr>
              <w:t>/nařízením MV</w:t>
            </w:r>
          </w:p>
        </w:tc>
        <w:tc>
          <w:tcPr>
            <w:tcW w:w="3120" w:type="dxa"/>
          </w:tcPr>
          <w:p w14:paraId="5F941CAE" w14:textId="77777777" w:rsidR="00DB03F0" w:rsidRDefault="00EF46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10–15 %</w:t>
            </w:r>
          </w:p>
        </w:tc>
      </w:tr>
      <w:tr w:rsidR="00DB03F0" w14:paraId="5F941CB4" w14:textId="77777777">
        <w:trPr>
          <w:trHeight w:val="1171"/>
        </w:trPr>
        <w:tc>
          <w:tcPr>
            <w:tcW w:w="674" w:type="dxa"/>
          </w:tcPr>
          <w:p w14:paraId="5F941CB0" w14:textId="77777777" w:rsidR="00DB03F0" w:rsidRDefault="00EF46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14:paraId="5F941CB1" w14:textId="77777777" w:rsidR="00DB03F0" w:rsidRDefault="00EF46BA">
            <w:pPr>
              <w:pStyle w:val="TableParagraph"/>
              <w:spacing w:line="290" w:lineRule="atLeast"/>
              <w:ind w:left="108" w:right="312"/>
              <w:rPr>
                <w:sz w:val="24"/>
              </w:rPr>
            </w:pPr>
            <w:r>
              <w:rPr>
                <w:sz w:val="24"/>
              </w:rPr>
              <w:t>Nezdůvodnění zadání nadlimitní veřejné zakázky bez rozdělení na části</w:t>
            </w:r>
          </w:p>
        </w:tc>
        <w:tc>
          <w:tcPr>
            <w:tcW w:w="3259" w:type="dxa"/>
          </w:tcPr>
          <w:p w14:paraId="5F941CB2" w14:textId="77777777" w:rsidR="00DB03F0" w:rsidRDefault="00EF46BA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Zadavatel nezdůvodnil zadání nadlimitní veřejné zakázky bez rozdělení na části</w:t>
            </w:r>
          </w:p>
        </w:tc>
        <w:tc>
          <w:tcPr>
            <w:tcW w:w="3120" w:type="dxa"/>
          </w:tcPr>
          <w:p w14:paraId="5F941CB3" w14:textId="77777777" w:rsidR="00DB03F0" w:rsidRDefault="00EF46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DB03F0" w14:paraId="5F941CBA" w14:textId="77777777">
        <w:trPr>
          <w:trHeight w:val="1172"/>
        </w:trPr>
        <w:tc>
          <w:tcPr>
            <w:tcW w:w="674" w:type="dxa"/>
          </w:tcPr>
          <w:p w14:paraId="5F941CB5" w14:textId="77777777" w:rsidR="00DB03F0" w:rsidRDefault="00EF46B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14:paraId="5F941CB6" w14:textId="77777777" w:rsidR="00DB03F0" w:rsidRDefault="00EF46BA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Nezveřejnění výzvy pro VZMR</w:t>
            </w:r>
          </w:p>
        </w:tc>
        <w:tc>
          <w:tcPr>
            <w:tcW w:w="3259" w:type="dxa"/>
          </w:tcPr>
          <w:p w14:paraId="5F941CB7" w14:textId="77777777" w:rsidR="00DB03F0" w:rsidRDefault="00EF46BA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Nezveřejnění výzvy k podání nabídek a/nebo zadávací</w:t>
            </w:r>
          </w:p>
          <w:p w14:paraId="5F941CB8" w14:textId="77777777" w:rsidR="00DB03F0" w:rsidRDefault="00EF46BA">
            <w:pPr>
              <w:pStyle w:val="TableParagraph"/>
              <w:spacing w:line="290" w:lineRule="atLeast"/>
              <w:ind w:left="108" w:right="750"/>
              <w:rPr>
                <w:sz w:val="24"/>
              </w:rPr>
            </w:pPr>
            <w:r>
              <w:rPr>
                <w:sz w:val="24"/>
              </w:rPr>
              <w:t>dokumentace pro VZMR kategorie II</w:t>
            </w:r>
          </w:p>
        </w:tc>
        <w:tc>
          <w:tcPr>
            <w:tcW w:w="3120" w:type="dxa"/>
          </w:tcPr>
          <w:p w14:paraId="5F941CB9" w14:textId="77777777" w:rsidR="00DB03F0" w:rsidRDefault="00EF46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10–15 %</w:t>
            </w:r>
          </w:p>
        </w:tc>
      </w:tr>
      <w:tr w:rsidR="00DB03F0" w14:paraId="5F941CC0" w14:textId="77777777">
        <w:trPr>
          <w:trHeight w:val="1464"/>
        </w:trPr>
        <w:tc>
          <w:tcPr>
            <w:tcW w:w="674" w:type="dxa"/>
            <w:vMerge w:val="restart"/>
          </w:tcPr>
          <w:p w14:paraId="5F941CBB" w14:textId="77777777" w:rsidR="00DB03F0" w:rsidRDefault="00EF46B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  <w:vMerge w:val="restart"/>
          </w:tcPr>
          <w:p w14:paraId="5F941CBC" w14:textId="77777777" w:rsidR="00DB03F0" w:rsidRDefault="00EF46B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Nevložení informací do IS CEDR</w:t>
            </w:r>
          </w:p>
        </w:tc>
        <w:tc>
          <w:tcPr>
            <w:tcW w:w="3259" w:type="dxa"/>
          </w:tcPr>
          <w:p w14:paraId="5F941CBD" w14:textId="77777777" w:rsidR="00DB03F0" w:rsidRDefault="00EF46BA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Zadavatel nevložil hodnotící a kvalifikační kritéria veřejné zakázky/VZMR kategorie II</w:t>
            </w:r>
          </w:p>
          <w:p w14:paraId="5F941CBE" w14:textId="77777777" w:rsidR="00DB03F0" w:rsidRDefault="00EF46BA">
            <w:pPr>
              <w:pStyle w:val="TableParagraph"/>
              <w:spacing w:line="29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do IS CEDR před plánovaným vyhlášením</w:t>
            </w:r>
          </w:p>
        </w:tc>
        <w:tc>
          <w:tcPr>
            <w:tcW w:w="3120" w:type="dxa"/>
            <w:vMerge w:val="restart"/>
          </w:tcPr>
          <w:p w14:paraId="5F941CBF" w14:textId="77777777" w:rsidR="00DB03F0" w:rsidRDefault="00EF46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0–5 %</w:t>
            </w:r>
          </w:p>
        </w:tc>
      </w:tr>
      <w:tr w:rsidR="00DB03F0" w14:paraId="5F941CC6" w14:textId="77777777">
        <w:trPr>
          <w:trHeight w:val="879"/>
        </w:trPr>
        <w:tc>
          <w:tcPr>
            <w:tcW w:w="674" w:type="dxa"/>
            <w:vMerge/>
            <w:tcBorders>
              <w:top w:val="nil"/>
            </w:tcBorders>
          </w:tcPr>
          <w:p w14:paraId="5F941CC1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CC2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5F941CC3" w14:textId="77777777" w:rsidR="00DB03F0" w:rsidRDefault="00EF46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Zadavatel nepředložil</w:t>
            </w:r>
          </w:p>
          <w:p w14:paraId="5F941CC4" w14:textId="77777777" w:rsidR="00DB03F0" w:rsidRDefault="00EF46BA">
            <w:pPr>
              <w:pStyle w:val="TableParagraph"/>
              <w:spacing w:before="1" w:line="290" w:lineRule="atLeast"/>
              <w:ind w:left="108" w:right="482"/>
              <w:rPr>
                <w:sz w:val="24"/>
              </w:rPr>
            </w:pPr>
            <w:r>
              <w:rPr>
                <w:sz w:val="24"/>
              </w:rPr>
              <w:t xml:space="preserve">informace ze smlouvy či z dodatku </w:t>
            </w:r>
            <w:proofErr w:type="gramStart"/>
            <w:r>
              <w:rPr>
                <w:sz w:val="24"/>
              </w:rPr>
              <w:t>smlouvy v IS</w:t>
            </w:r>
            <w:proofErr w:type="gramEnd"/>
            <w:r>
              <w:rPr>
                <w:sz w:val="24"/>
              </w:rPr>
              <w:t xml:space="preserve"> CEDR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5F941CC5" w14:textId="77777777" w:rsidR="00DB03F0" w:rsidRDefault="00DB03F0">
            <w:pPr>
              <w:rPr>
                <w:sz w:val="2"/>
                <w:szCs w:val="2"/>
              </w:rPr>
            </w:pPr>
          </w:p>
        </w:tc>
      </w:tr>
      <w:tr w:rsidR="00DB03F0" w14:paraId="5F941CCE" w14:textId="77777777">
        <w:trPr>
          <w:trHeight w:val="879"/>
        </w:trPr>
        <w:tc>
          <w:tcPr>
            <w:tcW w:w="674" w:type="dxa"/>
          </w:tcPr>
          <w:p w14:paraId="5F941CC7" w14:textId="77777777" w:rsidR="00DB03F0" w:rsidRDefault="00EF46B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14:paraId="5F941CC8" w14:textId="77777777" w:rsidR="00DB03F0" w:rsidRDefault="00EF46BA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Nedodržení minimálních lhůt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</w:p>
          <w:p w14:paraId="5F941CC9" w14:textId="77777777" w:rsidR="00DB03F0" w:rsidRDefault="00EF46B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podání nabídek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</w:p>
        </w:tc>
        <w:tc>
          <w:tcPr>
            <w:tcW w:w="3259" w:type="dxa"/>
          </w:tcPr>
          <w:p w14:paraId="5F941CCA" w14:textId="77777777" w:rsidR="00DB03F0" w:rsidRDefault="00EF46BA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Zadavatel stanovil lhůtu pro podání nabídek, předběžných</w:t>
            </w:r>
          </w:p>
          <w:p w14:paraId="5F941CCB" w14:textId="77777777" w:rsidR="00DB03F0" w:rsidRDefault="00EF46B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nabídek nebo žádostí o účast</w:t>
            </w:r>
          </w:p>
        </w:tc>
        <w:tc>
          <w:tcPr>
            <w:tcW w:w="3120" w:type="dxa"/>
          </w:tcPr>
          <w:p w14:paraId="5F941CCC" w14:textId="77777777" w:rsidR="00DB03F0" w:rsidRDefault="00EF46BA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25 %, pokud je zkrácení vyšší nebo rovno 50 % délky</w:t>
            </w:r>
          </w:p>
          <w:p w14:paraId="5F941CCD" w14:textId="77777777" w:rsidR="00DB03F0" w:rsidRDefault="00EF46B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minimální lhůty</w:t>
            </w:r>
          </w:p>
        </w:tc>
      </w:tr>
    </w:tbl>
    <w:p w14:paraId="5F941CCF" w14:textId="77777777" w:rsidR="00DB03F0" w:rsidRDefault="00DB03F0">
      <w:pPr>
        <w:spacing w:line="274" w:lineRule="exact"/>
        <w:rPr>
          <w:sz w:val="24"/>
        </w:rPr>
        <w:sectPr w:rsidR="00DB03F0">
          <w:pgSz w:w="11910" w:h="16840"/>
          <w:pgMar w:top="1560" w:right="880" w:bottom="1240" w:left="1200" w:header="708" w:footer="967" w:gutter="0"/>
          <w:cols w:space="708"/>
        </w:sectPr>
      </w:pPr>
    </w:p>
    <w:p w14:paraId="5F941CD0" w14:textId="77777777" w:rsidR="00DB03F0" w:rsidRDefault="00DB03F0">
      <w:pPr>
        <w:pStyle w:val="Zkladntext"/>
        <w:spacing w:before="5"/>
        <w:rPr>
          <w:b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2"/>
        <w:gridCol w:w="3259"/>
        <w:gridCol w:w="3120"/>
      </w:tblGrid>
      <w:tr w:rsidR="00DB03F0" w14:paraId="5F941CD5" w14:textId="77777777">
        <w:trPr>
          <w:trHeight w:val="292"/>
        </w:trPr>
        <w:tc>
          <w:tcPr>
            <w:tcW w:w="674" w:type="dxa"/>
          </w:tcPr>
          <w:p w14:paraId="5F941CD1" w14:textId="77777777" w:rsidR="00DB03F0" w:rsidRDefault="00EF46B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Bod</w:t>
            </w:r>
          </w:p>
        </w:tc>
        <w:tc>
          <w:tcPr>
            <w:tcW w:w="2552" w:type="dxa"/>
          </w:tcPr>
          <w:p w14:paraId="5F941CD2" w14:textId="77777777" w:rsidR="00DB03F0" w:rsidRDefault="00EF46B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Typ porušení</w:t>
            </w:r>
          </w:p>
        </w:tc>
        <w:tc>
          <w:tcPr>
            <w:tcW w:w="3259" w:type="dxa"/>
          </w:tcPr>
          <w:p w14:paraId="5F941CD3" w14:textId="77777777" w:rsidR="00DB03F0" w:rsidRDefault="00EF46B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Popis pochybení</w:t>
            </w:r>
          </w:p>
        </w:tc>
        <w:tc>
          <w:tcPr>
            <w:tcW w:w="3120" w:type="dxa"/>
          </w:tcPr>
          <w:p w14:paraId="5F941CD4" w14:textId="77777777" w:rsidR="00DB03F0" w:rsidRDefault="00EF46B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Sazba sníženého odvodu</w:t>
            </w:r>
          </w:p>
        </w:tc>
      </w:tr>
      <w:tr w:rsidR="00DB03F0" w14:paraId="5F941CDA" w14:textId="77777777">
        <w:trPr>
          <w:trHeight w:val="1171"/>
        </w:trPr>
        <w:tc>
          <w:tcPr>
            <w:tcW w:w="674" w:type="dxa"/>
            <w:vMerge w:val="restart"/>
          </w:tcPr>
          <w:p w14:paraId="5F941CD6" w14:textId="77777777" w:rsidR="00DB03F0" w:rsidRDefault="00DB03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14:paraId="5F941CD7" w14:textId="77777777" w:rsidR="00DB03F0" w:rsidRDefault="00EF46BA">
            <w:pPr>
              <w:pStyle w:val="TableParagraph"/>
              <w:ind w:left="108" w:right="717"/>
              <w:rPr>
                <w:sz w:val="24"/>
              </w:rPr>
            </w:pPr>
            <w:r>
              <w:rPr>
                <w:sz w:val="24"/>
              </w:rPr>
              <w:t>lhůt pro doručení žádosti o účast</w:t>
            </w:r>
          </w:p>
        </w:tc>
        <w:tc>
          <w:tcPr>
            <w:tcW w:w="3259" w:type="dxa"/>
            <w:vMerge w:val="restart"/>
          </w:tcPr>
          <w:p w14:paraId="5F941CD8" w14:textId="77777777" w:rsidR="00DB03F0" w:rsidRDefault="00EF46BA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tak, že jejich délka nedosahovala minimálních lhůt stanovených v ZZVZ nebo v Pokynu pro VZMR</w:t>
            </w:r>
            <w:r w:rsidR="00762CD2">
              <w:rPr>
                <w:sz w:val="24"/>
              </w:rPr>
              <w:t>/Nařízení MV</w:t>
            </w:r>
          </w:p>
        </w:tc>
        <w:tc>
          <w:tcPr>
            <w:tcW w:w="3120" w:type="dxa"/>
          </w:tcPr>
          <w:p w14:paraId="5F941CD9" w14:textId="77777777" w:rsidR="00DB03F0" w:rsidRDefault="00EF46BA">
            <w:pPr>
              <w:pStyle w:val="TableParagraph"/>
              <w:spacing w:line="29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10 %, pokud je zkrácení vyšší nebo rovno 30 % délky minimální lhůty (ale méně než 50 %)</w:t>
            </w:r>
          </w:p>
        </w:tc>
      </w:tr>
      <w:tr w:rsidR="00DB03F0" w14:paraId="5F941CE0" w14:textId="77777777">
        <w:trPr>
          <w:trHeight w:val="879"/>
        </w:trPr>
        <w:tc>
          <w:tcPr>
            <w:tcW w:w="674" w:type="dxa"/>
            <w:vMerge/>
            <w:tcBorders>
              <w:top w:val="nil"/>
            </w:tcBorders>
          </w:tcPr>
          <w:p w14:paraId="5F941CDB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CDC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5F941CDD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F941CDE" w14:textId="77777777" w:rsidR="00DB03F0" w:rsidRDefault="00EF46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5 %, pokud je zkrácení nižší</w:t>
            </w:r>
          </w:p>
          <w:p w14:paraId="5F941CDF" w14:textId="77777777" w:rsidR="00DB03F0" w:rsidRDefault="00EF46BA">
            <w:pPr>
              <w:pStyle w:val="TableParagraph"/>
              <w:spacing w:before="1" w:line="290" w:lineRule="atLeast"/>
              <w:ind w:left="108" w:right="520"/>
              <w:rPr>
                <w:sz w:val="24"/>
              </w:rPr>
            </w:pPr>
            <w:r>
              <w:rPr>
                <w:sz w:val="24"/>
              </w:rPr>
              <w:t>než 30 % délky minimální lhůty</w:t>
            </w:r>
          </w:p>
        </w:tc>
      </w:tr>
      <w:tr w:rsidR="00DB03F0" w14:paraId="5F941CE6" w14:textId="77777777">
        <w:trPr>
          <w:trHeight w:val="1757"/>
        </w:trPr>
        <w:tc>
          <w:tcPr>
            <w:tcW w:w="674" w:type="dxa"/>
          </w:tcPr>
          <w:p w14:paraId="5F941CE1" w14:textId="77777777" w:rsidR="00DB03F0" w:rsidRDefault="00EF46B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2" w:type="dxa"/>
          </w:tcPr>
          <w:p w14:paraId="5F941CE2" w14:textId="77777777" w:rsidR="00DB03F0" w:rsidRDefault="00EF46BA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Neprodloužení lhůty pro podání nabídek, předběžných nabídek nebo žádostí o účast</w:t>
            </w:r>
          </w:p>
        </w:tc>
        <w:tc>
          <w:tcPr>
            <w:tcW w:w="3259" w:type="dxa"/>
          </w:tcPr>
          <w:p w14:paraId="5F941CE3" w14:textId="77777777" w:rsidR="00DB03F0" w:rsidRDefault="00EF46BA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Zadavatel neprodloužil lhůty pro podání nabídek v souladu se ZZVZ nebo Pokynem pro VZMR</w:t>
            </w:r>
            <w:r w:rsidR="00762CD2">
              <w:rPr>
                <w:sz w:val="24"/>
              </w:rPr>
              <w:t>/Nařízení MV</w:t>
            </w:r>
            <w:r>
              <w:rPr>
                <w:sz w:val="24"/>
              </w:rPr>
              <w:t>, pokud došlo</w:t>
            </w:r>
          </w:p>
          <w:p w14:paraId="5F941CE4" w14:textId="77777777" w:rsidR="00DB03F0" w:rsidRDefault="00EF46BA">
            <w:pPr>
              <w:pStyle w:val="TableParagraph"/>
              <w:spacing w:line="290" w:lineRule="atLeast"/>
              <w:ind w:left="108" w:right="805"/>
              <w:rPr>
                <w:sz w:val="24"/>
              </w:rPr>
            </w:pPr>
            <w:r>
              <w:rPr>
                <w:sz w:val="24"/>
              </w:rPr>
              <w:t>k významným změnám v zadávací dokumentaci</w:t>
            </w:r>
          </w:p>
        </w:tc>
        <w:tc>
          <w:tcPr>
            <w:tcW w:w="3120" w:type="dxa"/>
          </w:tcPr>
          <w:p w14:paraId="5F941CE5" w14:textId="77777777" w:rsidR="00DB03F0" w:rsidRDefault="00EF46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10 %</w:t>
            </w:r>
          </w:p>
        </w:tc>
      </w:tr>
      <w:tr w:rsidR="00DB03F0" w14:paraId="5F941CED" w14:textId="77777777">
        <w:trPr>
          <w:trHeight w:val="1584"/>
        </w:trPr>
        <w:tc>
          <w:tcPr>
            <w:tcW w:w="674" w:type="dxa"/>
            <w:vMerge w:val="restart"/>
          </w:tcPr>
          <w:p w14:paraId="5F941CE7" w14:textId="77777777" w:rsidR="00DB03F0" w:rsidRDefault="00EF46B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2" w:type="dxa"/>
            <w:vMerge w:val="restart"/>
          </w:tcPr>
          <w:p w14:paraId="5F941CE8" w14:textId="77777777" w:rsidR="00DB03F0" w:rsidRDefault="00EF46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Omezování přístupu</w:t>
            </w:r>
          </w:p>
          <w:p w14:paraId="5F941CE9" w14:textId="77777777" w:rsidR="00DB03F0" w:rsidRDefault="00EF46B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k zadávací dokumentaci</w:t>
            </w:r>
          </w:p>
        </w:tc>
        <w:tc>
          <w:tcPr>
            <w:tcW w:w="3259" w:type="dxa"/>
            <w:vMerge w:val="restart"/>
          </w:tcPr>
          <w:p w14:paraId="5F941CEA" w14:textId="77777777" w:rsidR="00DB03F0" w:rsidRDefault="00EF46BA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Zadavatel neposkytl zadávací dokumentaci uchazečům</w:t>
            </w:r>
          </w:p>
          <w:p w14:paraId="5F941CEB" w14:textId="77777777" w:rsidR="00DB03F0" w:rsidRDefault="00EF46BA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v dostatečném časovém předstihu nebo jiným způsobem omezoval uchazečům přístup k zadávací dokumentaci</w:t>
            </w:r>
          </w:p>
        </w:tc>
        <w:tc>
          <w:tcPr>
            <w:tcW w:w="3120" w:type="dxa"/>
          </w:tcPr>
          <w:p w14:paraId="5F941CEC" w14:textId="77777777" w:rsidR="00DB03F0" w:rsidRDefault="00EF46BA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10 %, pokud je doba, ve které mohl uchazeč získat zadávací dokumentaci, kratší nebo rovna 50 % lhůty pro podání nabídek</w:t>
            </w:r>
          </w:p>
        </w:tc>
      </w:tr>
      <w:tr w:rsidR="00DB03F0" w14:paraId="5F941CF2" w14:textId="77777777">
        <w:trPr>
          <w:trHeight w:val="1584"/>
        </w:trPr>
        <w:tc>
          <w:tcPr>
            <w:tcW w:w="674" w:type="dxa"/>
            <w:vMerge/>
            <w:tcBorders>
              <w:top w:val="nil"/>
            </w:tcBorders>
          </w:tcPr>
          <w:p w14:paraId="5F941CEE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CEF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5F941CF0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F941CF1" w14:textId="77777777" w:rsidR="00DB03F0" w:rsidRDefault="00EF46BA">
            <w:pPr>
              <w:pStyle w:val="TableParagraph"/>
              <w:ind w:left="108" w:right="135"/>
              <w:jc w:val="both"/>
              <w:rPr>
                <w:sz w:val="24"/>
              </w:rPr>
            </w:pPr>
            <w:r>
              <w:rPr>
                <w:sz w:val="24"/>
              </w:rPr>
              <w:t>5 %, pokud je doba, ve které mohl uchazeč získat zadávací dokumentaci kratší než 80 % lhůty pro podání nabídek (ale delší než 50 %)</w:t>
            </w:r>
          </w:p>
        </w:tc>
      </w:tr>
      <w:tr w:rsidR="00DB03F0" w14:paraId="5F941CF8" w14:textId="77777777">
        <w:trPr>
          <w:trHeight w:val="461"/>
        </w:trPr>
        <w:tc>
          <w:tcPr>
            <w:tcW w:w="674" w:type="dxa"/>
            <w:vMerge w:val="restart"/>
          </w:tcPr>
          <w:p w14:paraId="5F941CF3" w14:textId="77777777" w:rsidR="00DB03F0" w:rsidRDefault="00EF46B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2" w:type="dxa"/>
            <w:vMerge w:val="restart"/>
          </w:tcPr>
          <w:p w14:paraId="5F941CF4" w14:textId="77777777" w:rsidR="00DB03F0" w:rsidRDefault="00EF46B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Neuveřejnění prodloužení lhůty pro podání nabídek, předběžných nabídek nebo žádostí o účast</w:t>
            </w:r>
          </w:p>
        </w:tc>
        <w:tc>
          <w:tcPr>
            <w:tcW w:w="3259" w:type="dxa"/>
            <w:vMerge w:val="restart"/>
          </w:tcPr>
          <w:p w14:paraId="5F941CF5" w14:textId="77777777" w:rsidR="00DB03F0" w:rsidRDefault="00EF46BA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Zadavatel v průběhu zadávacího/výběrového řízení prodloužil lhůtu pro podání nabídek nebo žádostí o účast, aniž by tuto skutečnost uveřejnil způsobem stanoveným v ZZVZ nebo Pokynem pro VZMR</w:t>
            </w:r>
            <w:r w:rsidR="00762CD2">
              <w:rPr>
                <w:sz w:val="24"/>
              </w:rPr>
              <w:t>/Nařízením MV</w:t>
            </w:r>
            <w:r>
              <w:rPr>
                <w:sz w:val="24"/>
              </w:rPr>
              <w:t>, resp. způsobem, jakým bylo</w:t>
            </w:r>
          </w:p>
          <w:p w14:paraId="5F941CF6" w14:textId="77777777" w:rsidR="00DB03F0" w:rsidRDefault="00EF46BA">
            <w:pPr>
              <w:pStyle w:val="TableParagraph"/>
              <w:spacing w:line="29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zahájeno zadávací/výběrové řízení</w:t>
            </w:r>
          </w:p>
        </w:tc>
        <w:tc>
          <w:tcPr>
            <w:tcW w:w="3120" w:type="dxa"/>
          </w:tcPr>
          <w:p w14:paraId="5F941CF7" w14:textId="77777777" w:rsidR="00DB03F0" w:rsidRDefault="00EF46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10 %</w:t>
            </w:r>
          </w:p>
        </w:tc>
      </w:tr>
      <w:tr w:rsidR="00DB03F0" w14:paraId="5F941CFD" w14:textId="77777777">
        <w:trPr>
          <w:trHeight w:val="2751"/>
        </w:trPr>
        <w:tc>
          <w:tcPr>
            <w:tcW w:w="674" w:type="dxa"/>
            <w:vMerge/>
            <w:tcBorders>
              <w:top w:val="nil"/>
            </w:tcBorders>
          </w:tcPr>
          <w:p w14:paraId="5F941CF9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CFA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5F941CFB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F941CFC" w14:textId="77777777" w:rsidR="00DB03F0" w:rsidRDefault="00EF46BA"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5 % v případě, že došlo ke zveřejnění jiným způsobem, než jak stanoví ZZVZ nebo Pokyn pro VZMR</w:t>
            </w:r>
            <w:r w:rsidR="00762CD2">
              <w:rPr>
                <w:sz w:val="24"/>
              </w:rPr>
              <w:t>/Nařízení MV</w:t>
            </w:r>
          </w:p>
        </w:tc>
      </w:tr>
      <w:tr w:rsidR="00DB03F0" w14:paraId="5F941D04" w14:textId="77777777">
        <w:trPr>
          <w:trHeight w:val="1757"/>
        </w:trPr>
        <w:tc>
          <w:tcPr>
            <w:tcW w:w="674" w:type="dxa"/>
          </w:tcPr>
          <w:p w14:paraId="5F941CFE" w14:textId="77777777" w:rsidR="00DB03F0" w:rsidRDefault="00EF46B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2" w:type="dxa"/>
          </w:tcPr>
          <w:p w14:paraId="5F941CFF" w14:textId="77777777" w:rsidR="00DB03F0" w:rsidRDefault="00EF46BA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Nedostatečné vymezení kvalifikačních a hodnotících kritérií, podmínek pro plnění zakázky,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technických</w:t>
            </w:r>
          </w:p>
          <w:p w14:paraId="5F941D00" w14:textId="77777777" w:rsidR="00DB03F0" w:rsidRDefault="00EF46B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specifikací</w:t>
            </w:r>
          </w:p>
        </w:tc>
        <w:tc>
          <w:tcPr>
            <w:tcW w:w="3259" w:type="dxa"/>
          </w:tcPr>
          <w:p w14:paraId="5F941D01" w14:textId="77777777" w:rsidR="00DB03F0" w:rsidRDefault="00EF46BA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Zadavatel neuvedl v oznámení o zahájení zadávacího/výběrového řízení nebo v zadávací dokumentaci kvalifikační a hodnotící kritéria</w:t>
            </w:r>
          </w:p>
          <w:p w14:paraId="5F941D02" w14:textId="77777777" w:rsidR="00DB03F0" w:rsidRDefault="00EF46B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(a jejich váhu), podmínky pro</w:t>
            </w:r>
          </w:p>
        </w:tc>
        <w:tc>
          <w:tcPr>
            <w:tcW w:w="3120" w:type="dxa"/>
          </w:tcPr>
          <w:p w14:paraId="5F941D03" w14:textId="77777777" w:rsidR="00DB03F0" w:rsidRDefault="00EF46BA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25 % v případě neuvedení kvalifikačních a/nebo hodnotících kritérií (a jejich váhy)</w:t>
            </w:r>
          </w:p>
        </w:tc>
      </w:tr>
    </w:tbl>
    <w:p w14:paraId="5F941D05" w14:textId="77777777" w:rsidR="00DB03F0" w:rsidRDefault="00DB03F0">
      <w:pPr>
        <w:rPr>
          <w:sz w:val="24"/>
        </w:rPr>
        <w:sectPr w:rsidR="00DB03F0">
          <w:pgSz w:w="11910" w:h="16840"/>
          <w:pgMar w:top="1560" w:right="880" w:bottom="1160" w:left="1200" w:header="708" w:footer="967" w:gutter="0"/>
          <w:cols w:space="708"/>
        </w:sectPr>
      </w:pPr>
    </w:p>
    <w:p w14:paraId="5F941D06" w14:textId="77777777" w:rsidR="00DB03F0" w:rsidRDefault="00DB03F0">
      <w:pPr>
        <w:pStyle w:val="Zkladntext"/>
        <w:spacing w:before="5"/>
        <w:rPr>
          <w:b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2"/>
        <w:gridCol w:w="3259"/>
        <w:gridCol w:w="3120"/>
      </w:tblGrid>
      <w:tr w:rsidR="00DB03F0" w14:paraId="5F941D0B" w14:textId="77777777">
        <w:trPr>
          <w:trHeight w:val="292"/>
        </w:trPr>
        <w:tc>
          <w:tcPr>
            <w:tcW w:w="674" w:type="dxa"/>
          </w:tcPr>
          <w:p w14:paraId="5F941D07" w14:textId="77777777" w:rsidR="00DB03F0" w:rsidRDefault="00EF46BA">
            <w:pPr>
              <w:pStyle w:val="TableParagraph"/>
              <w:spacing w:line="272" w:lineRule="exact"/>
              <w:ind w:left="8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Bod</w:t>
            </w:r>
          </w:p>
        </w:tc>
        <w:tc>
          <w:tcPr>
            <w:tcW w:w="2552" w:type="dxa"/>
          </w:tcPr>
          <w:p w14:paraId="5F941D08" w14:textId="77777777" w:rsidR="00DB03F0" w:rsidRDefault="00EF46B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Typ porušení</w:t>
            </w:r>
          </w:p>
        </w:tc>
        <w:tc>
          <w:tcPr>
            <w:tcW w:w="3259" w:type="dxa"/>
          </w:tcPr>
          <w:p w14:paraId="5F941D09" w14:textId="77777777" w:rsidR="00DB03F0" w:rsidRDefault="00EF46B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Popis pochybení</w:t>
            </w:r>
          </w:p>
        </w:tc>
        <w:tc>
          <w:tcPr>
            <w:tcW w:w="3120" w:type="dxa"/>
          </w:tcPr>
          <w:p w14:paraId="5F941D0A" w14:textId="77777777" w:rsidR="00DB03F0" w:rsidRDefault="00EF46B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Sazba sníženého odvodu</w:t>
            </w:r>
          </w:p>
        </w:tc>
      </w:tr>
      <w:tr w:rsidR="00DB03F0" w14:paraId="5F941D11" w14:textId="77777777">
        <w:trPr>
          <w:trHeight w:val="5393"/>
        </w:trPr>
        <w:tc>
          <w:tcPr>
            <w:tcW w:w="674" w:type="dxa"/>
          </w:tcPr>
          <w:p w14:paraId="5F941D0C" w14:textId="77777777" w:rsidR="00DB03F0" w:rsidRDefault="00DB03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F941D0D" w14:textId="77777777" w:rsidR="00DB03F0" w:rsidRDefault="00DB03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5F941D0E" w14:textId="77777777" w:rsidR="00DB03F0" w:rsidRDefault="00EF46BA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plnění zakázky nebo technické specifikace nebo tyto požadavky nevymezil dostatečně určitě</w:t>
            </w:r>
          </w:p>
          <w:p w14:paraId="5F941D0F" w14:textId="77777777" w:rsidR="00DB03F0" w:rsidRDefault="00EF46BA">
            <w:pPr>
              <w:pStyle w:val="TableParagraph"/>
              <w:ind w:left="108" w:right="567"/>
              <w:rPr>
                <w:sz w:val="24"/>
              </w:rPr>
            </w:pPr>
            <w:r>
              <w:rPr>
                <w:sz w:val="24"/>
              </w:rPr>
              <w:t>nebo neposkytl vysvětlení nebo doplňující informace</w:t>
            </w:r>
          </w:p>
        </w:tc>
        <w:tc>
          <w:tcPr>
            <w:tcW w:w="3120" w:type="dxa"/>
          </w:tcPr>
          <w:p w14:paraId="5F941D10" w14:textId="77777777" w:rsidR="00DB03F0" w:rsidRDefault="00EF46BA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10 % v případě neuvedení podmínek plnění nebo technických specifikací nebo v případě nedostatečného vymezení hodnotících kritérií a jejich váhy, což má za následek nepřiměřené omezení hospodářské soutěže (tj. nedostatek podrobností mohl mít na uchazeče odrazující účinek) nebo v případě, kdy vysvětlení nebo doplňující informace (ke kvalifikačním a hodnotícím kritériím), které zadavatel poskytl, nebyly sděleny všem uchazečům nebo nebyly zveřejněny</w:t>
            </w:r>
          </w:p>
        </w:tc>
      </w:tr>
      <w:tr w:rsidR="00DB03F0" w14:paraId="5F941D18" w14:textId="77777777">
        <w:trPr>
          <w:trHeight w:val="413"/>
        </w:trPr>
        <w:tc>
          <w:tcPr>
            <w:tcW w:w="674" w:type="dxa"/>
            <w:vMerge w:val="restart"/>
          </w:tcPr>
          <w:p w14:paraId="5F941D12" w14:textId="77777777" w:rsidR="00DB03F0" w:rsidRDefault="00EF46B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2" w:type="dxa"/>
            <w:vMerge w:val="restart"/>
          </w:tcPr>
          <w:p w14:paraId="5F941D13" w14:textId="77777777" w:rsidR="00DB03F0" w:rsidRDefault="00EF46BA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Nastavení kvalifikačních a hodnotících kritérií, technických podmínek nebo jiných podmínek účasti</w:t>
            </w:r>
          </w:p>
          <w:p w14:paraId="5F941D14" w14:textId="77777777" w:rsidR="00DB03F0" w:rsidRDefault="00EF46B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v zadávacím/výběrové m řízení v rozporu se ZZVZ/Pokynem pro VZMR</w:t>
            </w:r>
            <w:r w:rsidR="00762CD2">
              <w:rPr>
                <w:sz w:val="24"/>
              </w:rPr>
              <w:t>/Nařízením MV</w:t>
            </w:r>
          </w:p>
        </w:tc>
        <w:tc>
          <w:tcPr>
            <w:tcW w:w="3259" w:type="dxa"/>
            <w:vMerge w:val="restart"/>
          </w:tcPr>
          <w:p w14:paraId="5F941D15" w14:textId="77777777" w:rsidR="00DB03F0" w:rsidRDefault="00EF46BA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Zadavatel stanovil diskriminační nebo jiná protiprávní kvalifikační kritéria, hodnotící kritéria, technické podmínky nebo jiné podmínky pro účast</w:t>
            </w:r>
          </w:p>
          <w:p w14:paraId="5F941D16" w14:textId="77777777" w:rsidR="00DB03F0" w:rsidRDefault="00EF46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 zadávacím/výběrovém řízení</w:t>
            </w:r>
          </w:p>
        </w:tc>
        <w:tc>
          <w:tcPr>
            <w:tcW w:w="3120" w:type="dxa"/>
          </w:tcPr>
          <w:p w14:paraId="5F941D17" w14:textId="77777777" w:rsidR="00DB03F0" w:rsidRDefault="00EF46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</w:tr>
      <w:tr w:rsidR="00DB03F0" w14:paraId="5F941D1D" w14:textId="77777777">
        <w:trPr>
          <w:trHeight w:val="2636"/>
        </w:trPr>
        <w:tc>
          <w:tcPr>
            <w:tcW w:w="674" w:type="dxa"/>
            <w:vMerge/>
            <w:tcBorders>
              <w:top w:val="nil"/>
            </w:tcBorders>
          </w:tcPr>
          <w:p w14:paraId="5F941D19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D1A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5F941D1B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F941D1C" w14:textId="77777777" w:rsidR="00DB03F0" w:rsidRDefault="00EF46BA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5–10 % v případech, kdy i přes použití diskriminačních kritérií byla zachována minimální míra hospodářské soutěže, tj. určitý počet uchazečů předložil nabídky, které byly přijaty a splnily kritéria pro výběr</w:t>
            </w:r>
          </w:p>
        </w:tc>
      </w:tr>
      <w:tr w:rsidR="00DB03F0" w14:paraId="5F941D23" w14:textId="77777777">
        <w:trPr>
          <w:trHeight w:val="1757"/>
        </w:trPr>
        <w:tc>
          <w:tcPr>
            <w:tcW w:w="674" w:type="dxa"/>
          </w:tcPr>
          <w:p w14:paraId="5F941D1E" w14:textId="77777777" w:rsidR="00DB03F0" w:rsidRDefault="00EF46BA">
            <w:pPr>
              <w:pStyle w:val="TableParagraph"/>
              <w:spacing w:line="292" w:lineRule="exact"/>
              <w:ind w:left="88" w:right="23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2" w:type="dxa"/>
          </w:tcPr>
          <w:p w14:paraId="5F941D1F" w14:textId="77777777" w:rsidR="00DB03F0" w:rsidRDefault="00EF46BA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Nedostatečné vymezení předmětu veřejné zakázky/VZMR</w:t>
            </w:r>
          </w:p>
        </w:tc>
        <w:tc>
          <w:tcPr>
            <w:tcW w:w="3259" w:type="dxa"/>
          </w:tcPr>
          <w:p w14:paraId="5F941D20" w14:textId="77777777" w:rsidR="00DB03F0" w:rsidRDefault="00EF46BA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Zadavatel nedostatečně nebo nepřesně definoval předmět veřejné zakázky/VZMR</w:t>
            </w:r>
          </w:p>
          <w:p w14:paraId="5F941D21" w14:textId="77777777" w:rsidR="00DB03F0" w:rsidRDefault="00EF46BA">
            <w:pPr>
              <w:pStyle w:val="TableParagraph"/>
              <w:spacing w:line="290" w:lineRule="atLeast"/>
              <w:ind w:left="108" w:right="203"/>
              <w:rPr>
                <w:sz w:val="24"/>
              </w:rPr>
            </w:pPr>
            <w:r>
              <w:rPr>
                <w:sz w:val="24"/>
              </w:rPr>
              <w:t>v oznámení/výzvě o zahájení zadávacího/výběrového řízení nebo v zadávací dokumentaci</w:t>
            </w:r>
          </w:p>
        </w:tc>
        <w:tc>
          <w:tcPr>
            <w:tcW w:w="3120" w:type="dxa"/>
          </w:tcPr>
          <w:p w14:paraId="5F941D22" w14:textId="77777777" w:rsidR="00DB03F0" w:rsidRDefault="00EF46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5-10 %</w:t>
            </w:r>
          </w:p>
        </w:tc>
      </w:tr>
      <w:tr w:rsidR="00DB03F0" w14:paraId="5F941D2B" w14:textId="77777777">
        <w:trPr>
          <w:trHeight w:val="344"/>
        </w:trPr>
        <w:tc>
          <w:tcPr>
            <w:tcW w:w="674" w:type="dxa"/>
            <w:vMerge w:val="restart"/>
          </w:tcPr>
          <w:p w14:paraId="5F941D24" w14:textId="77777777" w:rsidR="00DB03F0" w:rsidRDefault="00EF46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2" w:type="dxa"/>
            <w:vMerge w:val="restart"/>
          </w:tcPr>
          <w:p w14:paraId="5F941D25" w14:textId="77777777" w:rsidR="00DB03F0" w:rsidRDefault="00EF46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Použití jednacího řízení</w:t>
            </w:r>
          </w:p>
          <w:p w14:paraId="5F941D26" w14:textId="77777777" w:rsidR="00DB03F0" w:rsidRDefault="00EF46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 uveřejněním</w:t>
            </w:r>
          </w:p>
          <w:p w14:paraId="5F941D27" w14:textId="77777777" w:rsidR="00DB03F0" w:rsidRDefault="00EF46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 rozporu se ZZVZ</w:t>
            </w:r>
          </w:p>
        </w:tc>
        <w:tc>
          <w:tcPr>
            <w:tcW w:w="3259" w:type="dxa"/>
            <w:vMerge w:val="restart"/>
          </w:tcPr>
          <w:p w14:paraId="5F941D28" w14:textId="77777777" w:rsidR="00DB03F0" w:rsidRDefault="00EF46BA">
            <w:pPr>
              <w:pStyle w:val="TableParagraph"/>
              <w:ind w:left="108" w:right="676"/>
              <w:jc w:val="both"/>
              <w:rPr>
                <w:sz w:val="24"/>
              </w:rPr>
            </w:pPr>
            <w:r>
              <w:rPr>
                <w:sz w:val="24"/>
              </w:rPr>
              <w:t>Zadavatel zadal veřejnou zakázku v jednacím řízení s uveřejněním nebo v</w:t>
            </w:r>
          </w:p>
          <w:p w14:paraId="5F941D29" w14:textId="77777777" w:rsidR="00DB03F0" w:rsidRDefault="00EF46BA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soutěžním dialogu v rozporu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 ZZVZ nebo v průběhu jednacího řízení s uveřejněním podstatně změnil zadávací podmínky</w:t>
            </w:r>
          </w:p>
        </w:tc>
        <w:tc>
          <w:tcPr>
            <w:tcW w:w="3120" w:type="dxa"/>
          </w:tcPr>
          <w:p w14:paraId="5F941D2A" w14:textId="77777777" w:rsidR="00DB03F0" w:rsidRDefault="00EF46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</w:tr>
      <w:tr w:rsidR="00DB03F0" w14:paraId="5F941D31" w14:textId="77777777">
        <w:trPr>
          <w:trHeight w:val="2637"/>
        </w:trPr>
        <w:tc>
          <w:tcPr>
            <w:tcW w:w="674" w:type="dxa"/>
            <w:vMerge/>
            <w:tcBorders>
              <w:top w:val="nil"/>
            </w:tcBorders>
          </w:tcPr>
          <w:p w14:paraId="5F941D2C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D2D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5F941D2E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F941D2F" w14:textId="77777777" w:rsidR="00DB03F0" w:rsidRDefault="00EF46BA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5-10 % v případech, kdy byla zajištěna úplná transparentnost, včetně odůvodnění použití těchto postupů v zadávací dokumentaci, nebyl neomezen počet účastníků vyzvaných k podání</w:t>
            </w:r>
          </w:p>
          <w:p w14:paraId="5F941D30" w14:textId="77777777" w:rsidR="00DB03F0" w:rsidRDefault="00EF46B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předběžných nabídek, a bylo</w:t>
            </w:r>
          </w:p>
        </w:tc>
      </w:tr>
    </w:tbl>
    <w:p w14:paraId="5F941D32" w14:textId="77777777" w:rsidR="00DB03F0" w:rsidRDefault="00DB03F0">
      <w:pPr>
        <w:spacing w:line="273" w:lineRule="exact"/>
        <w:rPr>
          <w:sz w:val="24"/>
        </w:rPr>
        <w:sectPr w:rsidR="00DB03F0">
          <w:pgSz w:w="11910" w:h="16840"/>
          <w:pgMar w:top="1560" w:right="880" w:bottom="1160" w:left="1200" w:header="708" w:footer="967" w:gutter="0"/>
          <w:cols w:space="708"/>
        </w:sectPr>
      </w:pPr>
    </w:p>
    <w:p w14:paraId="5F941D33" w14:textId="77777777" w:rsidR="00DB03F0" w:rsidRDefault="00DB03F0">
      <w:pPr>
        <w:pStyle w:val="Zkladntext"/>
        <w:spacing w:before="5"/>
        <w:rPr>
          <w:b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2"/>
        <w:gridCol w:w="3259"/>
        <w:gridCol w:w="3120"/>
      </w:tblGrid>
      <w:tr w:rsidR="00DB03F0" w14:paraId="5F941D38" w14:textId="77777777">
        <w:trPr>
          <w:trHeight w:val="292"/>
        </w:trPr>
        <w:tc>
          <w:tcPr>
            <w:tcW w:w="674" w:type="dxa"/>
          </w:tcPr>
          <w:p w14:paraId="5F941D34" w14:textId="77777777" w:rsidR="00DB03F0" w:rsidRDefault="00EF46B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Bod</w:t>
            </w:r>
          </w:p>
        </w:tc>
        <w:tc>
          <w:tcPr>
            <w:tcW w:w="2552" w:type="dxa"/>
          </w:tcPr>
          <w:p w14:paraId="5F941D35" w14:textId="77777777" w:rsidR="00DB03F0" w:rsidRDefault="00EF46B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Typ porušení</w:t>
            </w:r>
          </w:p>
        </w:tc>
        <w:tc>
          <w:tcPr>
            <w:tcW w:w="3259" w:type="dxa"/>
          </w:tcPr>
          <w:p w14:paraId="5F941D36" w14:textId="77777777" w:rsidR="00DB03F0" w:rsidRDefault="00EF46B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Popis pochybení</w:t>
            </w:r>
          </w:p>
        </w:tc>
        <w:tc>
          <w:tcPr>
            <w:tcW w:w="3120" w:type="dxa"/>
          </w:tcPr>
          <w:p w14:paraId="5F941D37" w14:textId="77777777" w:rsidR="00DB03F0" w:rsidRDefault="00EF46B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Sazba sníženého odvodu</w:t>
            </w:r>
          </w:p>
        </w:tc>
      </w:tr>
      <w:tr w:rsidR="00DB03F0" w14:paraId="5F941D3D" w14:textId="77777777">
        <w:trPr>
          <w:trHeight w:val="1380"/>
        </w:trPr>
        <w:tc>
          <w:tcPr>
            <w:tcW w:w="674" w:type="dxa"/>
          </w:tcPr>
          <w:p w14:paraId="5F941D39" w14:textId="77777777" w:rsidR="00DB03F0" w:rsidRDefault="00DB03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F941D3A" w14:textId="77777777" w:rsidR="00DB03F0" w:rsidRDefault="00DB03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5F941D3B" w14:textId="77777777" w:rsidR="00DB03F0" w:rsidRDefault="00DB03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 w14:paraId="5F941D3C" w14:textId="77777777" w:rsidR="00DB03F0" w:rsidRDefault="00EF46BA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zajištěno rovné zacházení se všemi účastníky v průběhu jednání</w:t>
            </w:r>
          </w:p>
        </w:tc>
      </w:tr>
    </w:tbl>
    <w:p w14:paraId="5F941D3E" w14:textId="77777777" w:rsidR="00DB03F0" w:rsidRDefault="00DB03F0">
      <w:pPr>
        <w:pStyle w:val="Zkladntext"/>
        <w:spacing w:before="9"/>
        <w:rPr>
          <w:b/>
          <w:sz w:val="19"/>
        </w:rPr>
      </w:pPr>
    </w:p>
    <w:p w14:paraId="5F941D3F" w14:textId="77777777" w:rsidR="00DB03F0" w:rsidRDefault="00EF46BA">
      <w:pPr>
        <w:pStyle w:val="Nadpis11"/>
        <w:numPr>
          <w:ilvl w:val="1"/>
          <w:numId w:val="1"/>
        </w:numPr>
        <w:tabs>
          <w:tab w:val="left" w:pos="579"/>
        </w:tabs>
      </w:pPr>
      <w:r>
        <w:t>Výběr uchazečů a hodnocení</w:t>
      </w:r>
      <w:r>
        <w:rPr>
          <w:spacing w:val="-4"/>
        </w:rPr>
        <w:t xml:space="preserve"> </w:t>
      </w:r>
      <w:r>
        <w:t>nabídek</w:t>
      </w:r>
    </w:p>
    <w:p w14:paraId="5F941D40" w14:textId="77777777" w:rsidR="00DB03F0" w:rsidRDefault="00DB03F0">
      <w:pPr>
        <w:pStyle w:val="Zkladntext"/>
        <w:spacing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52"/>
        <w:gridCol w:w="3260"/>
        <w:gridCol w:w="3121"/>
      </w:tblGrid>
      <w:tr w:rsidR="00DB03F0" w14:paraId="5F941D45" w14:textId="77777777">
        <w:trPr>
          <w:trHeight w:val="293"/>
        </w:trPr>
        <w:tc>
          <w:tcPr>
            <w:tcW w:w="676" w:type="dxa"/>
          </w:tcPr>
          <w:p w14:paraId="5F941D41" w14:textId="77777777" w:rsidR="00DB03F0" w:rsidRDefault="00EF46BA">
            <w:pPr>
              <w:pStyle w:val="TableParagraph"/>
              <w:spacing w:line="273" w:lineRule="exact"/>
              <w:ind w:left="8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Bod</w:t>
            </w:r>
          </w:p>
        </w:tc>
        <w:tc>
          <w:tcPr>
            <w:tcW w:w="2552" w:type="dxa"/>
          </w:tcPr>
          <w:p w14:paraId="5F941D42" w14:textId="77777777" w:rsidR="00DB03F0" w:rsidRDefault="00EF46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Typ porušení</w:t>
            </w:r>
          </w:p>
        </w:tc>
        <w:tc>
          <w:tcPr>
            <w:tcW w:w="3260" w:type="dxa"/>
          </w:tcPr>
          <w:p w14:paraId="5F941D43" w14:textId="77777777" w:rsidR="00DB03F0" w:rsidRDefault="00EF46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Popis pochybení</w:t>
            </w:r>
          </w:p>
        </w:tc>
        <w:tc>
          <w:tcPr>
            <w:tcW w:w="3121" w:type="dxa"/>
          </w:tcPr>
          <w:p w14:paraId="5F941D44" w14:textId="77777777" w:rsidR="00DB03F0" w:rsidRDefault="00EF46B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Sazba sníženého odvodu</w:t>
            </w:r>
          </w:p>
        </w:tc>
      </w:tr>
      <w:tr w:rsidR="00DB03F0" w14:paraId="5F941D4B" w14:textId="77777777">
        <w:trPr>
          <w:trHeight w:val="412"/>
        </w:trPr>
        <w:tc>
          <w:tcPr>
            <w:tcW w:w="676" w:type="dxa"/>
            <w:vMerge w:val="restart"/>
          </w:tcPr>
          <w:p w14:paraId="5F941D46" w14:textId="77777777" w:rsidR="00DB03F0" w:rsidRDefault="00EF46B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2" w:type="dxa"/>
            <w:vMerge w:val="restart"/>
          </w:tcPr>
          <w:p w14:paraId="5F941D47" w14:textId="77777777" w:rsidR="00DB03F0" w:rsidRDefault="00EF46BA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Upravení kvalifikačních kritérií nebo technických specifikací</w:t>
            </w:r>
          </w:p>
        </w:tc>
        <w:tc>
          <w:tcPr>
            <w:tcW w:w="3260" w:type="dxa"/>
            <w:vMerge w:val="restart"/>
          </w:tcPr>
          <w:p w14:paraId="5F941D48" w14:textId="77777777" w:rsidR="00DB03F0" w:rsidRDefault="00EF46BA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Zadavatel upravil kvalifikační kritéria nebo technické specifikace po otevření nabídek nebo je nesprávně uplatnil, což mělo za následek neoprávněné přijetí uchazečů nebo neoprávněné vyloučení</w:t>
            </w:r>
          </w:p>
          <w:p w14:paraId="5F941D49" w14:textId="77777777" w:rsidR="00DB03F0" w:rsidRDefault="00EF46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uchazečů</w:t>
            </w:r>
          </w:p>
        </w:tc>
        <w:tc>
          <w:tcPr>
            <w:tcW w:w="3121" w:type="dxa"/>
          </w:tcPr>
          <w:p w14:paraId="5F941D4A" w14:textId="77777777" w:rsidR="00DB03F0" w:rsidRDefault="00EF46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</w:tr>
      <w:tr w:rsidR="00DB03F0" w14:paraId="5F941D50" w14:textId="77777777">
        <w:trPr>
          <w:trHeight w:val="1920"/>
        </w:trPr>
        <w:tc>
          <w:tcPr>
            <w:tcW w:w="676" w:type="dxa"/>
            <w:vMerge/>
            <w:tcBorders>
              <w:top w:val="nil"/>
            </w:tcBorders>
          </w:tcPr>
          <w:p w14:paraId="5F941D4C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D4D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F941D4E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F941D4F" w14:textId="77777777" w:rsidR="00DB03F0" w:rsidRDefault="00EF46BA">
            <w:pPr>
              <w:pStyle w:val="TableParagraph"/>
              <w:ind w:left="105" w:right="503"/>
              <w:rPr>
                <w:sz w:val="24"/>
              </w:rPr>
            </w:pPr>
            <w:r>
              <w:rPr>
                <w:sz w:val="24"/>
              </w:rPr>
              <w:t>5-10 % v méně závažných případech</w:t>
            </w:r>
          </w:p>
        </w:tc>
      </w:tr>
      <w:tr w:rsidR="00DB03F0" w14:paraId="5F941D56" w14:textId="77777777">
        <w:trPr>
          <w:trHeight w:val="903"/>
        </w:trPr>
        <w:tc>
          <w:tcPr>
            <w:tcW w:w="676" w:type="dxa"/>
            <w:vMerge w:val="restart"/>
          </w:tcPr>
          <w:p w14:paraId="5F941D51" w14:textId="77777777" w:rsidR="00DB03F0" w:rsidRDefault="00EF46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2" w:type="dxa"/>
            <w:vMerge w:val="restart"/>
          </w:tcPr>
          <w:p w14:paraId="5F941D52" w14:textId="77777777" w:rsidR="00DB03F0" w:rsidRDefault="00EF46BA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Hodnocení s použitím jiných hodnotících kritérií</w:t>
            </w:r>
          </w:p>
        </w:tc>
        <w:tc>
          <w:tcPr>
            <w:tcW w:w="3260" w:type="dxa"/>
            <w:vMerge w:val="restart"/>
          </w:tcPr>
          <w:p w14:paraId="5F941D53" w14:textId="77777777" w:rsidR="00DB03F0" w:rsidRDefault="00EF46BA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Zadavatel hodnotil nabídky s použitím hodnotících kritérií, která se liší od kritérií uvedených v oznámení o zahájení zadávacího/výběrového řízení nebo v zadávací dokumentaci nebo hodnotil nabídky za použití dodatečných hodnotících kritérií, která</w:t>
            </w:r>
          </w:p>
          <w:p w14:paraId="5F941D54" w14:textId="77777777" w:rsidR="00DB03F0" w:rsidRDefault="00EF46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nebyla zveřejněna</w:t>
            </w:r>
          </w:p>
        </w:tc>
        <w:tc>
          <w:tcPr>
            <w:tcW w:w="3121" w:type="dxa"/>
          </w:tcPr>
          <w:p w14:paraId="5F941D55" w14:textId="77777777" w:rsidR="00DB03F0" w:rsidRDefault="00EF46BA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sz w:val="24"/>
              </w:rPr>
              <w:t>25 % v případech, kdy tato skutečnost měla diskriminační účinek</w:t>
            </w:r>
          </w:p>
        </w:tc>
      </w:tr>
      <w:tr w:rsidR="00DB03F0" w14:paraId="5F941D5B" w14:textId="77777777">
        <w:trPr>
          <w:trHeight w:val="2309"/>
        </w:trPr>
        <w:tc>
          <w:tcPr>
            <w:tcW w:w="676" w:type="dxa"/>
            <w:vMerge/>
            <w:tcBorders>
              <w:top w:val="nil"/>
            </w:tcBorders>
          </w:tcPr>
          <w:p w14:paraId="5F941D57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D58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F941D59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F941D5A" w14:textId="77777777" w:rsidR="00DB03F0" w:rsidRDefault="00EF46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10 % v ostatních případech</w:t>
            </w:r>
          </w:p>
        </w:tc>
      </w:tr>
      <w:tr w:rsidR="00DB03F0" w14:paraId="5F941D60" w14:textId="77777777">
        <w:trPr>
          <w:trHeight w:val="999"/>
        </w:trPr>
        <w:tc>
          <w:tcPr>
            <w:tcW w:w="676" w:type="dxa"/>
            <w:vMerge w:val="restart"/>
          </w:tcPr>
          <w:p w14:paraId="5F941D5C" w14:textId="77777777" w:rsidR="00DB03F0" w:rsidRDefault="00EF46B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2" w:type="dxa"/>
            <w:vMerge w:val="restart"/>
          </w:tcPr>
          <w:p w14:paraId="5F941D5D" w14:textId="77777777" w:rsidR="00DB03F0" w:rsidRDefault="00EF46BA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Nedostatečné zajištění auditní stopy</w:t>
            </w:r>
          </w:p>
        </w:tc>
        <w:tc>
          <w:tcPr>
            <w:tcW w:w="3260" w:type="dxa"/>
            <w:vMerge w:val="restart"/>
          </w:tcPr>
          <w:p w14:paraId="5F941D5E" w14:textId="77777777" w:rsidR="00DB03F0" w:rsidRDefault="00EF46BA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Zadavatel nedostatečně zajistil auditní stopu pro zadání veřejné zakázky/VZMR</w:t>
            </w:r>
          </w:p>
        </w:tc>
        <w:tc>
          <w:tcPr>
            <w:tcW w:w="3121" w:type="dxa"/>
          </w:tcPr>
          <w:p w14:paraId="5F941D5F" w14:textId="77777777" w:rsidR="00DB03F0" w:rsidRDefault="00EF46BA"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100 % v případech, kdy není doložena žádná dokumentace</w:t>
            </w:r>
          </w:p>
        </w:tc>
      </w:tr>
      <w:tr w:rsidR="00DB03F0" w14:paraId="5F941D65" w14:textId="77777777">
        <w:trPr>
          <w:trHeight w:val="2170"/>
        </w:trPr>
        <w:tc>
          <w:tcPr>
            <w:tcW w:w="676" w:type="dxa"/>
            <w:vMerge/>
            <w:tcBorders>
              <w:top w:val="nil"/>
            </w:tcBorders>
          </w:tcPr>
          <w:p w14:paraId="5F941D61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D62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F941D63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F941D64" w14:textId="77777777" w:rsidR="00DB03F0" w:rsidRDefault="00EF46BA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25 % v případech, kdy příslušná dokumentace není dostatečná k odůvodnění zadání veřejné zakázky/VZMR, což vede k nedostatečné transparentnosti</w:t>
            </w:r>
          </w:p>
        </w:tc>
      </w:tr>
      <w:tr w:rsidR="00DB03F0" w14:paraId="5F941D6A" w14:textId="77777777">
        <w:trPr>
          <w:trHeight w:val="706"/>
        </w:trPr>
        <w:tc>
          <w:tcPr>
            <w:tcW w:w="676" w:type="dxa"/>
            <w:vMerge/>
            <w:tcBorders>
              <w:top w:val="nil"/>
            </w:tcBorders>
          </w:tcPr>
          <w:p w14:paraId="5F941D66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D67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F941D68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F941D69" w14:textId="77777777" w:rsidR="00DB03F0" w:rsidRDefault="00EF46BA">
            <w:pPr>
              <w:pStyle w:val="TableParagraph"/>
              <w:ind w:left="105" w:right="625"/>
              <w:rPr>
                <w:sz w:val="24"/>
              </w:rPr>
            </w:pPr>
            <w:r>
              <w:rPr>
                <w:sz w:val="24"/>
              </w:rPr>
              <w:t>0-5 % v méně závažných případech</w:t>
            </w:r>
          </w:p>
        </w:tc>
      </w:tr>
      <w:tr w:rsidR="00DB03F0" w14:paraId="5F941D6F" w14:textId="77777777">
        <w:trPr>
          <w:trHeight w:val="920"/>
        </w:trPr>
        <w:tc>
          <w:tcPr>
            <w:tcW w:w="676" w:type="dxa"/>
          </w:tcPr>
          <w:p w14:paraId="5F941D6B" w14:textId="77777777" w:rsidR="00DB03F0" w:rsidRDefault="00EF46BA">
            <w:pPr>
              <w:pStyle w:val="TableParagraph"/>
              <w:spacing w:line="292" w:lineRule="exact"/>
              <w:ind w:left="88" w:right="23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2" w:type="dxa"/>
          </w:tcPr>
          <w:p w14:paraId="5F941D6C" w14:textId="77777777" w:rsidR="00DB03F0" w:rsidRDefault="00EF46BA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Nezákonné vyjednávání o nabídkách</w:t>
            </w:r>
          </w:p>
        </w:tc>
        <w:tc>
          <w:tcPr>
            <w:tcW w:w="3260" w:type="dxa"/>
          </w:tcPr>
          <w:p w14:paraId="5F941D6D" w14:textId="77777777" w:rsidR="00DB03F0" w:rsidRDefault="00EF46BA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Zadavatel protiprávně vyjednává o nabídkách nebo jedná v průběhu</w:t>
            </w:r>
          </w:p>
        </w:tc>
        <w:tc>
          <w:tcPr>
            <w:tcW w:w="3121" w:type="dxa"/>
          </w:tcPr>
          <w:p w14:paraId="5F941D6E" w14:textId="77777777" w:rsidR="00DB03F0" w:rsidRDefault="00EF46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</w:tr>
    </w:tbl>
    <w:p w14:paraId="5F941D70" w14:textId="77777777" w:rsidR="00DB03F0" w:rsidRDefault="00DB03F0">
      <w:pPr>
        <w:spacing w:line="292" w:lineRule="exact"/>
        <w:rPr>
          <w:sz w:val="24"/>
        </w:rPr>
        <w:sectPr w:rsidR="00DB03F0">
          <w:pgSz w:w="11910" w:h="16840"/>
          <w:pgMar w:top="1560" w:right="880" w:bottom="1160" w:left="1200" w:header="708" w:footer="967" w:gutter="0"/>
          <w:cols w:space="708"/>
        </w:sectPr>
      </w:pPr>
    </w:p>
    <w:p w14:paraId="5F941D71" w14:textId="77777777" w:rsidR="00DB03F0" w:rsidRDefault="00DB03F0">
      <w:pPr>
        <w:pStyle w:val="Zkladntext"/>
        <w:spacing w:before="5"/>
        <w:rPr>
          <w:b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52"/>
        <w:gridCol w:w="3260"/>
        <w:gridCol w:w="3121"/>
      </w:tblGrid>
      <w:tr w:rsidR="00DB03F0" w14:paraId="5F941D76" w14:textId="77777777">
        <w:trPr>
          <w:trHeight w:val="292"/>
        </w:trPr>
        <w:tc>
          <w:tcPr>
            <w:tcW w:w="676" w:type="dxa"/>
          </w:tcPr>
          <w:p w14:paraId="5F941D72" w14:textId="77777777" w:rsidR="00DB03F0" w:rsidRDefault="00EF46BA">
            <w:pPr>
              <w:pStyle w:val="TableParagraph"/>
              <w:spacing w:line="272" w:lineRule="exact"/>
              <w:ind w:left="8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Bod</w:t>
            </w:r>
          </w:p>
        </w:tc>
        <w:tc>
          <w:tcPr>
            <w:tcW w:w="2552" w:type="dxa"/>
          </w:tcPr>
          <w:p w14:paraId="5F941D73" w14:textId="77777777" w:rsidR="00DB03F0" w:rsidRDefault="00EF46B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Typ porušení</w:t>
            </w:r>
          </w:p>
        </w:tc>
        <w:tc>
          <w:tcPr>
            <w:tcW w:w="3260" w:type="dxa"/>
          </w:tcPr>
          <w:p w14:paraId="5F941D74" w14:textId="77777777" w:rsidR="00DB03F0" w:rsidRDefault="00EF46B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Popis pochybení</w:t>
            </w:r>
          </w:p>
        </w:tc>
        <w:tc>
          <w:tcPr>
            <w:tcW w:w="3121" w:type="dxa"/>
          </w:tcPr>
          <w:p w14:paraId="5F941D75" w14:textId="77777777" w:rsidR="00DB03F0" w:rsidRDefault="00EF46B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Sazba sníženého odvodu</w:t>
            </w:r>
          </w:p>
        </w:tc>
      </w:tr>
      <w:tr w:rsidR="00DB03F0" w14:paraId="5F941D7B" w14:textId="77777777">
        <w:trPr>
          <w:trHeight w:val="920"/>
        </w:trPr>
        <w:tc>
          <w:tcPr>
            <w:tcW w:w="676" w:type="dxa"/>
          </w:tcPr>
          <w:p w14:paraId="5F941D77" w14:textId="77777777" w:rsidR="00DB03F0" w:rsidRDefault="00DB03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F941D78" w14:textId="77777777" w:rsidR="00DB03F0" w:rsidRDefault="00DB03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5F941D79" w14:textId="77777777" w:rsidR="00DB03F0" w:rsidRDefault="00EF46BA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zadávacího/výběrového řízení, včetně úpravy vítězné nabídky během hodnocení</w:t>
            </w:r>
          </w:p>
        </w:tc>
        <w:tc>
          <w:tcPr>
            <w:tcW w:w="3121" w:type="dxa"/>
          </w:tcPr>
          <w:p w14:paraId="5F941D7A" w14:textId="77777777" w:rsidR="00DB03F0" w:rsidRDefault="00EF46BA">
            <w:pPr>
              <w:pStyle w:val="TableParagraph"/>
              <w:ind w:left="105" w:right="503"/>
              <w:rPr>
                <w:sz w:val="24"/>
              </w:rPr>
            </w:pPr>
            <w:r>
              <w:rPr>
                <w:sz w:val="24"/>
              </w:rPr>
              <w:t>5-10 % v méně závažných případech</w:t>
            </w:r>
          </w:p>
        </w:tc>
      </w:tr>
      <w:tr w:rsidR="00DB03F0" w14:paraId="5F941D80" w14:textId="77777777">
        <w:trPr>
          <w:trHeight w:val="1171"/>
        </w:trPr>
        <w:tc>
          <w:tcPr>
            <w:tcW w:w="676" w:type="dxa"/>
          </w:tcPr>
          <w:p w14:paraId="5F941D7C" w14:textId="77777777" w:rsidR="00DB03F0" w:rsidRDefault="00EF46BA">
            <w:pPr>
              <w:pStyle w:val="TableParagraph"/>
              <w:ind w:left="88" w:right="23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2" w:type="dxa"/>
          </w:tcPr>
          <w:p w14:paraId="5F941D7D" w14:textId="77777777" w:rsidR="00DB03F0" w:rsidRDefault="00EF46BA">
            <w:pPr>
              <w:pStyle w:val="TableParagraph"/>
              <w:spacing w:line="29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Nedovolená předchozí účast uchazeče na přípravě veřejné zakázky/VZMR</w:t>
            </w:r>
          </w:p>
        </w:tc>
        <w:tc>
          <w:tcPr>
            <w:tcW w:w="3260" w:type="dxa"/>
          </w:tcPr>
          <w:p w14:paraId="5F941D7E" w14:textId="77777777" w:rsidR="00DB03F0" w:rsidRDefault="00EF46BA">
            <w:pPr>
              <w:pStyle w:val="TableParagraph"/>
              <w:spacing w:line="29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Zadavatel umožnil nedovolenou předchozí účast uchazeče na přípravě veřejné zakázky/VZMR</w:t>
            </w:r>
          </w:p>
        </w:tc>
        <w:tc>
          <w:tcPr>
            <w:tcW w:w="3121" w:type="dxa"/>
          </w:tcPr>
          <w:p w14:paraId="5F941D7F" w14:textId="77777777" w:rsidR="00DB03F0" w:rsidRDefault="00EF46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</w:tr>
      <w:tr w:rsidR="00DB03F0" w14:paraId="5F941D86" w14:textId="77777777">
        <w:trPr>
          <w:trHeight w:val="1464"/>
        </w:trPr>
        <w:tc>
          <w:tcPr>
            <w:tcW w:w="676" w:type="dxa"/>
          </w:tcPr>
          <w:p w14:paraId="5F941D81" w14:textId="77777777" w:rsidR="00DB03F0" w:rsidRDefault="00EF46BA">
            <w:pPr>
              <w:pStyle w:val="TableParagraph"/>
              <w:spacing w:line="292" w:lineRule="exact"/>
              <w:ind w:left="88" w:right="23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2" w:type="dxa"/>
          </w:tcPr>
          <w:p w14:paraId="5F941D82" w14:textId="77777777" w:rsidR="00DB03F0" w:rsidRDefault="00EF46B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Neoprávněné vyřazení nabídky z důvodu mimořádně nízké nabídkové ceny</w:t>
            </w:r>
          </w:p>
        </w:tc>
        <w:tc>
          <w:tcPr>
            <w:tcW w:w="3260" w:type="dxa"/>
          </w:tcPr>
          <w:p w14:paraId="5F941D83" w14:textId="77777777" w:rsidR="00DB03F0" w:rsidRDefault="00EF46BA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Zadavatel vyřadil  nabídku z důvodu mimořádně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nízké</w:t>
            </w:r>
          </w:p>
          <w:p w14:paraId="5F941D84" w14:textId="77777777" w:rsidR="00DB03F0" w:rsidRDefault="00EF46BA">
            <w:pPr>
              <w:pStyle w:val="TableParagraph"/>
              <w:spacing w:line="29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nabídkové ceny bez vyzvání uchazeče k písemnému zdůvodnění</w:t>
            </w:r>
          </w:p>
        </w:tc>
        <w:tc>
          <w:tcPr>
            <w:tcW w:w="3121" w:type="dxa"/>
          </w:tcPr>
          <w:p w14:paraId="5F941D85" w14:textId="77777777" w:rsidR="00DB03F0" w:rsidRDefault="00EF46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</w:tr>
      <w:tr w:rsidR="00DB03F0" w14:paraId="5F941D8C" w14:textId="77777777">
        <w:trPr>
          <w:trHeight w:val="2637"/>
        </w:trPr>
        <w:tc>
          <w:tcPr>
            <w:tcW w:w="676" w:type="dxa"/>
          </w:tcPr>
          <w:p w14:paraId="5F941D87" w14:textId="77777777" w:rsidR="00DB03F0" w:rsidRDefault="00EF46BA">
            <w:pPr>
              <w:pStyle w:val="TableParagraph"/>
              <w:spacing w:line="292" w:lineRule="exact"/>
              <w:ind w:left="88" w:right="23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2" w:type="dxa"/>
          </w:tcPr>
          <w:p w14:paraId="5F941D88" w14:textId="77777777" w:rsidR="00DB03F0" w:rsidRDefault="00EF46B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Střet zájmů</w:t>
            </w:r>
          </w:p>
        </w:tc>
        <w:tc>
          <w:tcPr>
            <w:tcW w:w="3260" w:type="dxa"/>
          </w:tcPr>
          <w:p w14:paraId="5F941D89" w14:textId="77777777" w:rsidR="00DB03F0" w:rsidRDefault="00EF46B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Příslušný soud nebo jiný orgán pravomocně rozhodl, že při zadávání veřejné zakázky/VZMR došlo ke střetu zájmů, včetně případů, kdy příslušný soud pravomocně rozhodl, že byl při zadávání veřejné zakázky/VZMR</w:t>
            </w:r>
          </w:p>
          <w:p w14:paraId="5F941D8A" w14:textId="77777777" w:rsidR="00DB03F0" w:rsidRDefault="00EF46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spáchán trestný čin</w:t>
            </w:r>
          </w:p>
        </w:tc>
        <w:tc>
          <w:tcPr>
            <w:tcW w:w="3121" w:type="dxa"/>
          </w:tcPr>
          <w:p w14:paraId="5F941D8B" w14:textId="77777777" w:rsidR="00DB03F0" w:rsidRDefault="00EF46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DB03F0" w14:paraId="5F941D92" w14:textId="77777777">
        <w:trPr>
          <w:trHeight w:val="460"/>
        </w:trPr>
        <w:tc>
          <w:tcPr>
            <w:tcW w:w="676" w:type="dxa"/>
            <w:vMerge w:val="restart"/>
          </w:tcPr>
          <w:p w14:paraId="5F941D8D" w14:textId="77777777" w:rsidR="00DB03F0" w:rsidRDefault="00EF46B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2" w:type="dxa"/>
            <w:vMerge w:val="restart"/>
          </w:tcPr>
          <w:p w14:paraId="5F941D8E" w14:textId="77777777" w:rsidR="00DB03F0" w:rsidRDefault="00EF46BA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Zvýhodnění určitého uchazeče</w:t>
            </w:r>
          </w:p>
        </w:tc>
        <w:tc>
          <w:tcPr>
            <w:tcW w:w="3260" w:type="dxa"/>
            <w:vMerge w:val="restart"/>
          </w:tcPr>
          <w:p w14:paraId="5F941D8F" w14:textId="77777777" w:rsidR="00DB03F0" w:rsidRDefault="00EF46BA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Zadavatel v průběhu lhůty pro podání nabídek nebo žádosti pro účast nebo při jednání s uchazeči poskytl některému uchazeči nebo některým uchazečům informace, které neposkytl ostatním uchazečům, nebo zvýhodnil některého uchazeče nebo některé uchazeče jiným než výše uvedeným způsobem, přičemž tento postup měl</w:t>
            </w:r>
          </w:p>
          <w:p w14:paraId="5F941D90" w14:textId="77777777" w:rsidR="00DB03F0" w:rsidRDefault="00EF46BA">
            <w:pPr>
              <w:pStyle w:val="TableParagraph"/>
              <w:spacing w:line="290" w:lineRule="atLeast"/>
              <w:ind w:right="413"/>
              <w:rPr>
                <w:sz w:val="24"/>
              </w:rPr>
            </w:pPr>
            <w:r>
              <w:rPr>
                <w:sz w:val="24"/>
              </w:rPr>
              <w:t>nebo mohl mít vliv na výběr nejvhodnější nabídky</w:t>
            </w:r>
          </w:p>
        </w:tc>
        <w:tc>
          <w:tcPr>
            <w:tcW w:w="3121" w:type="dxa"/>
          </w:tcPr>
          <w:p w14:paraId="5F941D91" w14:textId="77777777" w:rsidR="00DB03F0" w:rsidRDefault="00EF46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</w:tr>
      <w:tr w:rsidR="00DB03F0" w14:paraId="5F941D97" w14:textId="77777777">
        <w:trPr>
          <w:trHeight w:val="3630"/>
        </w:trPr>
        <w:tc>
          <w:tcPr>
            <w:tcW w:w="676" w:type="dxa"/>
            <w:vMerge/>
            <w:tcBorders>
              <w:top w:val="nil"/>
            </w:tcBorders>
          </w:tcPr>
          <w:p w14:paraId="5F941D93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D94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F941D95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F941D96" w14:textId="77777777" w:rsidR="00DB03F0" w:rsidRDefault="00EF46BA">
            <w:pPr>
              <w:pStyle w:val="TableParagraph"/>
              <w:ind w:left="105" w:right="503"/>
              <w:rPr>
                <w:sz w:val="24"/>
              </w:rPr>
            </w:pPr>
            <w:r>
              <w:rPr>
                <w:sz w:val="24"/>
              </w:rPr>
              <w:t>5-10 % v méně závažných případech</w:t>
            </w:r>
          </w:p>
        </w:tc>
      </w:tr>
    </w:tbl>
    <w:p w14:paraId="5F941D98" w14:textId="77777777" w:rsidR="00DB03F0" w:rsidRDefault="00DB03F0">
      <w:pPr>
        <w:pStyle w:val="Zkladntext"/>
        <w:rPr>
          <w:b/>
          <w:sz w:val="20"/>
        </w:rPr>
      </w:pPr>
    </w:p>
    <w:p w14:paraId="5F941D99" w14:textId="77777777" w:rsidR="00DB03F0" w:rsidRDefault="00DB03F0">
      <w:pPr>
        <w:pStyle w:val="Zkladntext"/>
        <w:spacing w:before="10"/>
        <w:rPr>
          <w:b/>
          <w:sz w:val="23"/>
        </w:rPr>
      </w:pPr>
    </w:p>
    <w:p w14:paraId="5F941D9A" w14:textId="77777777" w:rsidR="00DB03F0" w:rsidRDefault="00EF46BA">
      <w:pPr>
        <w:pStyle w:val="Odstavecseseznamem"/>
        <w:numPr>
          <w:ilvl w:val="1"/>
          <w:numId w:val="1"/>
        </w:numPr>
        <w:tabs>
          <w:tab w:val="left" w:pos="579"/>
        </w:tabs>
        <w:rPr>
          <w:b/>
          <w:sz w:val="24"/>
        </w:rPr>
      </w:pPr>
      <w:r>
        <w:rPr>
          <w:b/>
          <w:sz w:val="24"/>
        </w:rPr>
        <w:t>Provádění veřejné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zakázky/VZMR</w:t>
      </w:r>
    </w:p>
    <w:p w14:paraId="5F941D9B" w14:textId="77777777" w:rsidR="00DB03F0" w:rsidRDefault="00DB03F0">
      <w:pPr>
        <w:pStyle w:val="Zkladntext"/>
        <w:spacing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52"/>
        <w:gridCol w:w="3260"/>
        <w:gridCol w:w="3121"/>
      </w:tblGrid>
      <w:tr w:rsidR="00DB03F0" w14:paraId="5F941DA0" w14:textId="77777777">
        <w:trPr>
          <w:trHeight w:val="292"/>
        </w:trPr>
        <w:tc>
          <w:tcPr>
            <w:tcW w:w="676" w:type="dxa"/>
          </w:tcPr>
          <w:p w14:paraId="5F941D9C" w14:textId="77777777" w:rsidR="00DB03F0" w:rsidRDefault="00EF46BA">
            <w:pPr>
              <w:pStyle w:val="TableParagraph"/>
              <w:spacing w:line="272" w:lineRule="exact"/>
              <w:ind w:left="8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Bod</w:t>
            </w:r>
          </w:p>
        </w:tc>
        <w:tc>
          <w:tcPr>
            <w:tcW w:w="2552" w:type="dxa"/>
          </w:tcPr>
          <w:p w14:paraId="5F941D9D" w14:textId="77777777" w:rsidR="00DB03F0" w:rsidRDefault="00EF46B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Typ porušení</w:t>
            </w:r>
          </w:p>
        </w:tc>
        <w:tc>
          <w:tcPr>
            <w:tcW w:w="3260" w:type="dxa"/>
          </w:tcPr>
          <w:p w14:paraId="5F941D9E" w14:textId="77777777" w:rsidR="00DB03F0" w:rsidRDefault="00EF46B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Popis pochybení</w:t>
            </w:r>
          </w:p>
        </w:tc>
        <w:tc>
          <w:tcPr>
            <w:tcW w:w="3121" w:type="dxa"/>
          </w:tcPr>
          <w:p w14:paraId="5F941D9F" w14:textId="77777777" w:rsidR="00DB03F0" w:rsidRDefault="00EF46B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Sazba sníženého odvodu</w:t>
            </w:r>
          </w:p>
        </w:tc>
      </w:tr>
      <w:tr w:rsidR="00DB03F0" w14:paraId="5F941DA7" w14:textId="77777777">
        <w:trPr>
          <w:trHeight w:val="1172"/>
        </w:trPr>
        <w:tc>
          <w:tcPr>
            <w:tcW w:w="676" w:type="dxa"/>
          </w:tcPr>
          <w:p w14:paraId="5F941DA1" w14:textId="77777777" w:rsidR="00DB03F0" w:rsidRDefault="00EF46BA">
            <w:pPr>
              <w:pStyle w:val="TableParagraph"/>
              <w:ind w:left="88" w:right="23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2" w:type="dxa"/>
          </w:tcPr>
          <w:p w14:paraId="5F941DA2" w14:textId="77777777" w:rsidR="00DB03F0" w:rsidRDefault="00EF46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Uzavření smlouvy</w:t>
            </w:r>
          </w:p>
          <w:p w14:paraId="5F941DA3" w14:textId="77777777" w:rsidR="00DB03F0" w:rsidRDefault="00EF46BA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s uchazečem, který měl být vyloučen</w:t>
            </w:r>
          </w:p>
        </w:tc>
        <w:tc>
          <w:tcPr>
            <w:tcW w:w="3260" w:type="dxa"/>
          </w:tcPr>
          <w:p w14:paraId="5F941DA4" w14:textId="77777777" w:rsidR="00DB03F0" w:rsidRDefault="00EF46BA">
            <w:pPr>
              <w:pStyle w:val="TableParagraph"/>
              <w:ind w:right="4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Zadavatel uzavřel smlouvu s uchazečem, který měl být vyloučen </w:t>
            </w:r>
            <w:proofErr w:type="gramStart"/>
            <w:r>
              <w:rPr>
                <w:sz w:val="24"/>
              </w:rPr>
              <w:t>ze</w:t>
            </w:r>
            <w:proofErr w:type="gramEnd"/>
          </w:p>
          <w:p w14:paraId="5F941DA5" w14:textId="77777777" w:rsidR="00DB03F0" w:rsidRDefault="00EF46BA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zadávacího/výběrového řízení</w:t>
            </w:r>
          </w:p>
        </w:tc>
        <w:tc>
          <w:tcPr>
            <w:tcW w:w="3121" w:type="dxa"/>
          </w:tcPr>
          <w:p w14:paraId="5F941DA6" w14:textId="77777777" w:rsidR="00DB03F0" w:rsidRDefault="00EF46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25–50 %</w:t>
            </w:r>
          </w:p>
        </w:tc>
      </w:tr>
      <w:tr w:rsidR="00DB03F0" w14:paraId="5F941DAC" w14:textId="77777777">
        <w:trPr>
          <w:trHeight w:val="293"/>
        </w:trPr>
        <w:tc>
          <w:tcPr>
            <w:tcW w:w="676" w:type="dxa"/>
          </w:tcPr>
          <w:p w14:paraId="5F941DA8" w14:textId="77777777" w:rsidR="00DB03F0" w:rsidRDefault="00EF46BA">
            <w:pPr>
              <w:pStyle w:val="TableParagraph"/>
              <w:spacing w:line="273" w:lineRule="exact"/>
              <w:ind w:left="88" w:right="23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2" w:type="dxa"/>
          </w:tcPr>
          <w:p w14:paraId="5F941DA9" w14:textId="77777777" w:rsidR="00DB03F0" w:rsidRDefault="00EF46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Podstatná změna</w:t>
            </w:r>
          </w:p>
        </w:tc>
        <w:tc>
          <w:tcPr>
            <w:tcW w:w="3260" w:type="dxa"/>
          </w:tcPr>
          <w:p w14:paraId="5F941DAA" w14:textId="77777777" w:rsidR="00DB03F0" w:rsidRDefault="00EF46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Zadavatel provedl změnu</w:t>
            </w:r>
          </w:p>
        </w:tc>
        <w:tc>
          <w:tcPr>
            <w:tcW w:w="3121" w:type="dxa"/>
          </w:tcPr>
          <w:p w14:paraId="5F941DAB" w14:textId="77777777" w:rsidR="00DB03F0" w:rsidRDefault="00EF46B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100 % částky použité </w:t>
            </w:r>
            <w:proofErr w:type="gramStart"/>
            <w:r>
              <w:rPr>
                <w:sz w:val="24"/>
              </w:rPr>
              <w:t>na</w:t>
            </w:r>
            <w:proofErr w:type="gramEnd"/>
          </w:p>
        </w:tc>
      </w:tr>
    </w:tbl>
    <w:p w14:paraId="5F941DAD" w14:textId="77777777" w:rsidR="00DB03F0" w:rsidRDefault="00DB03F0">
      <w:pPr>
        <w:spacing w:line="273" w:lineRule="exact"/>
        <w:rPr>
          <w:sz w:val="24"/>
        </w:rPr>
        <w:sectPr w:rsidR="00DB03F0">
          <w:pgSz w:w="11910" w:h="16840"/>
          <w:pgMar w:top="1560" w:right="880" w:bottom="1240" w:left="1200" w:header="708" w:footer="967" w:gutter="0"/>
          <w:cols w:space="708"/>
        </w:sectPr>
      </w:pPr>
    </w:p>
    <w:p w14:paraId="5F941DAE" w14:textId="77777777" w:rsidR="00DB03F0" w:rsidRDefault="00DB03F0">
      <w:pPr>
        <w:pStyle w:val="Zkladntext"/>
        <w:spacing w:before="5"/>
        <w:rPr>
          <w:b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52"/>
        <w:gridCol w:w="3260"/>
        <w:gridCol w:w="3121"/>
      </w:tblGrid>
      <w:tr w:rsidR="00DB03F0" w14:paraId="5F941DB4" w14:textId="77777777">
        <w:trPr>
          <w:trHeight w:val="877"/>
        </w:trPr>
        <w:tc>
          <w:tcPr>
            <w:tcW w:w="676" w:type="dxa"/>
          </w:tcPr>
          <w:p w14:paraId="5F941DAF" w14:textId="77777777" w:rsidR="00DB03F0" w:rsidRDefault="00DB03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F941DB0" w14:textId="77777777" w:rsidR="00DB03F0" w:rsidRDefault="00EF46B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závazku ze smlouvy</w:t>
            </w:r>
          </w:p>
        </w:tc>
        <w:tc>
          <w:tcPr>
            <w:tcW w:w="3260" w:type="dxa"/>
          </w:tcPr>
          <w:p w14:paraId="5F941DB1" w14:textId="77777777" w:rsidR="00DB03F0" w:rsidRDefault="00EF46BA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závazku ze smlouvy za nedodržení podmínek a limitů</w:t>
            </w:r>
          </w:p>
          <w:p w14:paraId="5F941DB2" w14:textId="77777777" w:rsidR="00DB03F0" w:rsidRDefault="00EF46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stanovených v ZZVZ</w:t>
            </w:r>
          </w:p>
        </w:tc>
        <w:tc>
          <w:tcPr>
            <w:tcW w:w="3121" w:type="dxa"/>
          </w:tcPr>
          <w:p w14:paraId="5F941DB3" w14:textId="77777777" w:rsidR="00DB03F0" w:rsidRDefault="00EF46BA">
            <w:pPr>
              <w:pStyle w:val="TableParagraph"/>
              <w:ind w:left="105" w:right="838"/>
              <w:rPr>
                <w:sz w:val="24"/>
              </w:rPr>
            </w:pPr>
            <w:r>
              <w:rPr>
                <w:sz w:val="24"/>
              </w:rPr>
              <w:t>případné zvýšení ceny závazku</w:t>
            </w:r>
          </w:p>
        </w:tc>
      </w:tr>
      <w:tr w:rsidR="00DB03F0" w14:paraId="5F941DBA" w14:textId="77777777">
        <w:trPr>
          <w:trHeight w:val="645"/>
        </w:trPr>
        <w:tc>
          <w:tcPr>
            <w:tcW w:w="676" w:type="dxa"/>
            <w:vMerge w:val="restart"/>
          </w:tcPr>
          <w:p w14:paraId="5F941DB5" w14:textId="77777777" w:rsidR="00DB03F0" w:rsidRDefault="00EF46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2" w:type="dxa"/>
            <w:vMerge w:val="restart"/>
          </w:tcPr>
          <w:p w14:paraId="5F941DB6" w14:textId="77777777" w:rsidR="00DB03F0" w:rsidRDefault="00EF46BA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Jiné porušení pravidel pro zadávání veřejných zakázek/VZMR</w:t>
            </w:r>
          </w:p>
        </w:tc>
        <w:tc>
          <w:tcPr>
            <w:tcW w:w="3260" w:type="dxa"/>
            <w:vMerge w:val="restart"/>
          </w:tcPr>
          <w:p w14:paraId="5F941DB7" w14:textId="77777777" w:rsidR="00DB03F0" w:rsidRDefault="00EF46BA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Zadavatel jiným způsobem porušil pravidla pro zadávání veřejných zakázek/VZMR, jestliže takové porušení mělo či mohlo mít vliv na výběr</w:t>
            </w:r>
          </w:p>
          <w:p w14:paraId="5F941DB8" w14:textId="77777777" w:rsidR="00DB03F0" w:rsidRDefault="00EF46B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nejvhodnější nabídky</w:t>
            </w:r>
          </w:p>
        </w:tc>
        <w:tc>
          <w:tcPr>
            <w:tcW w:w="3121" w:type="dxa"/>
          </w:tcPr>
          <w:p w14:paraId="5F941DB9" w14:textId="77777777" w:rsidR="00DB03F0" w:rsidRDefault="00EF46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25–30 %</w:t>
            </w:r>
          </w:p>
        </w:tc>
      </w:tr>
      <w:tr w:rsidR="00DB03F0" w14:paraId="5F941DBF" w14:textId="77777777">
        <w:trPr>
          <w:trHeight w:val="1103"/>
        </w:trPr>
        <w:tc>
          <w:tcPr>
            <w:tcW w:w="676" w:type="dxa"/>
            <w:vMerge/>
            <w:tcBorders>
              <w:top w:val="nil"/>
            </w:tcBorders>
          </w:tcPr>
          <w:p w14:paraId="5F941DBB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941DBC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F941DBD" w14:textId="77777777" w:rsidR="00DB03F0" w:rsidRDefault="00DB03F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F941DBE" w14:textId="77777777" w:rsidR="00DB03F0" w:rsidRDefault="00EF46BA">
            <w:pPr>
              <w:pStyle w:val="TableParagraph"/>
              <w:ind w:left="105" w:right="503"/>
              <w:rPr>
                <w:sz w:val="24"/>
              </w:rPr>
            </w:pPr>
            <w:r>
              <w:rPr>
                <w:sz w:val="24"/>
              </w:rPr>
              <w:t>0-10 % v méně závažných případech</w:t>
            </w:r>
          </w:p>
        </w:tc>
      </w:tr>
    </w:tbl>
    <w:p w14:paraId="5F941DC0" w14:textId="77777777" w:rsidR="00DB03F0" w:rsidRDefault="00DB03F0">
      <w:pPr>
        <w:pStyle w:val="Zkladntext"/>
        <w:spacing w:before="9"/>
        <w:rPr>
          <w:b/>
          <w:sz w:val="19"/>
        </w:rPr>
      </w:pPr>
    </w:p>
    <w:p w14:paraId="5F941E6D" w14:textId="77777777" w:rsidR="00EF46BA" w:rsidRDefault="00EF46BA"/>
    <w:sectPr w:rsidR="00EF46BA" w:rsidSect="00DB03F0">
      <w:pgSz w:w="11910" w:h="16840"/>
      <w:pgMar w:top="1560" w:right="880" w:bottom="1160" w:left="1200" w:header="708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CCBB" w14:textId="77777777" w:rsidR="00366C91" w:rsidRDefault="00366C91" w:rsidP="00DB03F0">
      <w:r>
        <w:separator/>
      </w:r>
    </w:p>
  </w:endnote>
  <w:endnote w:type="continuationSeparator" w:id="0">
    <w:p w14:paraId="31F24F60" w14:textId="77777777" w:rsidR="00366C91" w:rsidRDefault="00366C91" w:rsidP="00DB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1E73" w14:textId="1B165BC4" w:rsidR="00DB03F0" w:rsidRDefault="00FA2B30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941E76" wp14:editId="29180F79">
              <wp:simplePos x="0" y="0"/>
              <wp:positionH relativeFrom="page">
                <wp:posOffset>887095</wp:posOffset>
              </wp:positionH>
              <wp:positionV relativeFrom="page">
                <wp:posOffset>10055225</wp:posOffset>
              </wp:positionV>
              <wp:extent cx="5831840" cy="364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184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41E77" w14:textId="21746974" w:rsidR="006626B9" w:rsidRPr="00DE6792" w:rsidRDefault="006626B9" w:rsidP="006626B9">
                          <w:pPr>
                            <w:pStyle w:val="Zkladntext"/>
                            <w:spacing w:line="26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DE6792">
                            <w:rPr>
                              <w:sz w:val="20"/>
                              <w:szCs w:val="20"/>
                            </w:rPr>
                            <w:t xml:space="preserve">Příloha č. </w:t>
                          </w:r>
                          <w:r w:rsidR="008756B6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DE6792">
                            <w:rPr>
                              <w:sz w:val="20"/>
                              <w:szCs w:val="20"/>
                            </w:rPr>
                            <w:t xml:space="preserve"> Pokynů pro příjemce podpory</w:t>
                          </w:r>
                          <w:r w:rsidR="004131F6">
                            <w:rPr>
                              <w:sz w:val="20"/>
                              <w:szCs w:val="20"/>
                            </w:rPr>
                            <w:t xml:space="preserve"> v rámci MGS</w:t>
                          </w:r>
                          <w:r w:rsidRPr="00DE679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F941E78" w14:textId="30729606" w:rsidR="00DB03F0" w:rsidRDefault="006626B9" w:rsidP="006626B9">
                          <w:pPr>
                            <w:pStyle w:val="Zkladntext"/>
                            <w:spacing w:line="264" w:lineRule="exact"/>
                            <w:ind w:left="20"/>
                          </w:pPr>
                          <w:r w:rsidRPr="00DE6792">
                            <w:rPr>
                              <w:sz w:val="20"/>
                              <w:szCs w:val="20"/>
                            </w:rPr>
                            <w:t xml:space="preserve">Typy porušení </w:t>
                          </w:r>
                          <w:r w:rsidR="00CC75A0">
                            <w:rPr>
                              <w:sz w:val="20"/>
                              <w:szCs w:val="20"/>
                            </w:rPr>
                            <w:t>u veřejných zakázek</w:t>
                          </w:r>
                          <w:r w:rsidR="00DE6792" w:rsidRPr="00DE6792">
                            <w:rPr>
                              <w:sz w:val="20"/>
                              <w:szCs w:val="20"/>
                            </w:rPr>
                            <w:t xml:space="preserve"> a </w:t>
                          </w:r>
                          <w:r w:rsidRPr="00DE6792">
                            <w:rPr>
                              <w:sz w:val="20"/>
                              <w:szCs w:val="20"/>
                            </w:rPr>
                            <w:t xml:space="preserve">sazby </w:t>
                          </w:r>
                          <w:r w:rsidR="00914C4B" w:rsidRPr="00DE6792">
                            <w:rPr>
                              <w:sz w:val="20"/>
                              <w:szCs w:val="20"/>
                            </w:rPr>
                            <w:t xml:space="preserve">snížených </w:t>
                          </w:r>
                          <w:r w:rsidRPr="00DE6792">
                            <w:rPr>
                              <w:sz w:val="20"/>
                              <w:szCs w:val="20"/>
                            </w:rPr>
                            <w:t>odvodů za porušení rozpočtové</w:t>
                          </w:r>
                          <w:r>
                            <w:t xml:space="preserve"> </w:t>
                          </w:r>
                          <w:r w:rsidRPr="00DE6792">
                            <w:rPr>
                              <w:sz w:val="20"/>
                              <w:szCs w:val="20"/>
                            </w:rPr>
                            <w:t>kázně</w:t>
                          </w:r>
                        </w:p>
                        <w:p w14:paraId="5F941E79" w14:textId="77777777" w:rsidR="006626B9" w:rsidRDefault="006626B9" w:rsidP="006626B9">
                          <w:pPr>
                            <w:pStyle w:val="Zkladn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41E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5pt;margin-top:791.75pt;width:459.2pt;height:28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hB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" filled="f" stroked="f">
              <v:textbox inset="0,0,0,0">
                <w:txbxContent>
                  <w:p w14:paraId="5F941E77" w14:textId="21746974" w:rsidR="006626B9" w:rsidRPr="00DE6792" w:rsidRDefault="006626B9" w:rsidP="006626B9">
                    <w:pPr>
                      <w:pStyle w:val="Zkladntext"/>
                      <w:spacing w:line="264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DE6792">
                      <w:rPr>
                        <w:sz w:val="20"/>
                        <w:szCs w:val="20"/>
                      </w:rPr>
                      <w:t xml:space="preserve">Příloha č. </w:t>
                    </w:r>
                    <w:r w:rsidR="008756B6">
                      <w:rPr>
                        <w:sz w:val="20"/>
                        <w:szCs w:val="20"/>
                      </w:rPr>
                      <w:t>9</w:t>
                    </w:r>
                    <w:r w:rsidRPr="00DE6792">
                      <w:rPr>
                        <w:sz w:val="20"/>
                        <w:szCs w:val="20"/>
                      </w:rPr>
                      <w:t xml:space="preserve"> Pokynů pro příjemce podpory</w:t>
                    </w:r>
                    <w:r w:rsidR="004131F6">
                      <w:rPr>
                        <w:sz w:val="20"/>
                        <w:szCs w:val="20"/>
                      </w:rPr>
                      <w:t xml:space="preserve"> v rámci MGS</w:t>
                    </w:r>
                    <w:r w:rsidRPr="00DE6792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5F941E78" w14:textId="30729606" w:rsidR="00DB03F0" w:rsidRDefault="006626B9" w:rsidP="006626B9">
                    <w:pPr>
                      <w:pStyle w:val="Zkladntext"/>
                      <w:spacing w:line="264" w:lineRule="exact"/>
                      <w:ind w:left="20"/>
                    </w:pPr>
                    <w:r w:rsidRPr="00DE6792">
                      <w:rPr>
                        <w:sz w:val="20"/>
                        <w:szCs w:val="20"/>
                      </w:rPr>
                      <w:t xml:space="preserve">Typy porušení </w:t>
                    </w:r>
                    <w:r w:rsidR="00CC75A0">
                      <w:rPr>
                        <w:sz w:val="20"/>
                        <w:szCs w:val="20"/>
                      </w:rPr>
                      <w:t>u veřejných zakázek</w:t>
                    </w:r>
                    <w:r w:rsidR="00DE6792" w:rsidRPr="00DE6792">
                      <w:rPr>
                        <w:sz w:val="20"/>
                        <w:szCs w:val="20"/>
                      </w:rPr>
                      <w:t xml:space="preserve"> a </w:t>
                    </w:r>
                    <w:r w:rsidRPr="00DE6792">
                      <w:rPr>
                        <w:sz w:val="20"/>
                        <w:szCs w:val="20"/>
                      </w:rPr>
                      <w:t xml:space="preserve">sazby </w:t>
                    </w:r>
                    <w:r w:rsidR="00914C4B" w:rsidRPr="00DE6792">
                      <w:rPr>
                        <w:sz w:val="20"/>
                        <w:szCs w:val="20"/>
                      </w:rPr>
                      <w:t xml:space="preserve">snížených </w:t>
                    </w:r>
                    <w:r w:rsidRPr="00DE6792">
                      <w:rPr>
                        <w:sz w:val="20"/>
                        <w:szCs w:val="20"/>
                      </w:rPr>
                      <w:t>odvodů za porušení rozpočtové</w:t>
                    </w:r>
                    <w:r>
                      <w:t xml:space="preserve"> </w:t>
                    </w:r>
                    <w:r w:rsidRPr="00DE6792">
                      <w:rPr>
                        <w:sz w:val="20"/>
                        <w:szCs w:val="20"/>
                      </w:rPr>
                      <w:t>kázně</w:t>
                    </w:r>
                  </w:p>
                  <w:p w14:paraId="5F941E79" w14:textId="77777777" w:rsidR="006626B9" w:rsidRDefault="006626B9" w:rsidP="006626B9">
                    <w:pPr>
                      <w:pStyle w:val="Zkladn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3D135" w14:textId="77777777" w:rsidR="00366C91" w:rsidRDefault="00366C91" w:rsidP="00DB03F0">
      <w:r>
        <w:separator/>
      </w:r>
    </w:p>
  </w:footnote>
  <w:footnote w:type="continuationSeparator" w:id="0">
    <w:p w14:paraId="3B0E9B7B" w14:textId="77777777" w:rsidR="00366C91" w:rsidRDefault="00366C91" w:rsidP="00DB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393A" w14:textId="77777777" w:rsidR="00940E75" w:rsidRDefault="00940E75" w:rsidP="00940E75">
    <w:pPr>
      <w:pStyle w:val="Zhlav"/>
      <w:ind w:left="2544" w:firstLine="4536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1D73067" wp14:editId="57689A1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40360" cy="3810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64B">
      <w:rPr>
        <w:noProof/>
        <w:lang w:eastAsia="cs-CZ"/>
      </w:rPr>
      <w:drawing>
        <wp:inline distT="0" distB="0" distL="0" distR="0" wp14:anchorId="62EC2072" wp14:editId="17A5A92E">
          <wp:extent cx="1371600" cy="381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41E72" w14:textId="0B368544" w:rsidR="00DB03F0" w:rsidRPr="00940E75" w:rsidRDefault="00DB03F0" w:rsidP="00940E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237D6"/>
    <w:multiLevelType w:val="hybridMultilevel"/>
    <w:tmpl w:val="95763CAC"/>
    <w:lvl w:ilvl="0" w:tplc="1AEE9318">
      <w:start w:val="1"/>
      <w:numFmt w:val="decimal"/>
      <w:lvlText w:val="%1."/>
      <w:lvlJc w:val="left"/>
      <w:pPr>
        <w:ind w:left="456" w:hanging="23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en-US" w:bidi="ar-SA"/>
      </w:rPr>
    </w:lvl>
    <w:lvl w:ilvl="1" w:tplc="9934DB7A">
      <w:numFmt w:val="none"/>
      <w:lvlText w:val=""/>
      <w:lvlJc w:val="left"/>
      <w:pPr>
        <w:tabs>
          <w:tab w:val="num" w:pos="360"/>
        </w:tabs>
      </w:pPr>
    </w:lvl>
    <w:lvl w:ilvl="2" w:tplc="836E9262">
      <w:numFmt w:val="bullet"/>
      <w:lvlText w:val="•"/>
      <w:lvlJc w:val="left"/>
      <w:pPr>
        <w:ind w:left="1607" w:hanging="362"/>
      </w:pPr>
      <w:rPr>
        <w:rFonts w:hint="default"/>
        <w:lang w:val="cs-CZ" w:eastAsia="en-US" w:bidi="ar-SA"/>
      </w:rPr>
    </w:lvl>
    <w:lvl w:ilvl="3" w:tplc="5D620930">
      <w:numFmt w:val="bullet"/>
      <w:lvlText w:val="•"/>
      <w:lvlJc w:val="left"/>
      <w:pPr>
        <w:ind w:left="2634" w:hanging="362"/>
      </w:pPr>
      <w:rPr>
        <w:rFonts w:hint="default"/>
        <w:lang w:val="cs-CZ" w:eastAsia="en-US" w:bidi="ar-SA"/>
      </w:rPr>
    </w:lvl>
    <w:lvl w:ilvl="4" w:tplc="CF5EFA1C">
      <w:numFmt w:val="bullet"/>
      <w:lvlText w:val="•"/>
      <w:lvlJc w:val="left"/>
      <w:pPr>
        <w:ind w:left="3662" w:hanging="362"/>
      </w:pPr>
      <w:rPr>
        <w:rFonts w:hint="default"/>
        <w:lang w:val="cs-CZ" w:eastAsia="en-US" w:bidi="ar-SA"/>
      </w:rPr>
    </w:lvl>
    <w:lvl w:ilvl="5" w:tplc="99283ADE">
      <w:numFmt w:val="bullet"/>
      <w:lvlText w:val="•"/>
      <w:lvlJc w:val="left"/>
      <w:pPr>
        <w:ind w:left="4689" w:hanging="362"/>
      </w:pPr>
      <w:rPr>
        <w:rFonts w:hint="default"/>
        <w:lang w:val="cs-CZ" w:eastAsia="en-US" w:bidi="ar-SA"/>
      </w:rPr>
    </w:lvl>
    <w:lvl w:ilvl="6" w:tplc="B16CE8EE">
      <w:numFmt w:val="bullet"/>
      <w:lvlText w:val="•"/>
      <w:lvlJc w:val="left"/>
      <w:pPr>
        <w:ind w:left="5716" w:hanging="362"/>
      </w:pPr>
      <w:rPr>
        <w:rFonts w:hint="default"/>
        <w:lang w:val="cs-CZ" w:eastAsia="en-US" w:bidi="ar-SA"/>
      </w:rPr>
    </w:lvl>
    <w:lvl w:ilvl="7" w:tplc="AA086054">
      <w:numFmt w:val="bullet"/>
      <w:lvlText w:val="•"/>
      <w:lvlJc w:val="left"/>
      <w:pPr>
        <w:ind w:left="6744" w:hanging="362"/>
      </w:pPr>
      <w:rPr>
        <w:rFonts w:hint="default"/>
        <w:lang w:val="cs-CZ" w:eastAsia="en-US" w:bidi="ar-SA"/>
      </w:rPr>
    </w:lvl>
    <w:lvl w:ilvl="8" w:tplc="008A2224">
      <w:numFmt w:val="bullet"/>
      <w:lvlText w:val="•"/>
      <w:lvlJc w:val="left"/>
      <w:pPr>
        <w:ind w:left="7771" w:hanging="362"/>
      </w:pPr>
      <w:rPr>
        <w:rFonts w:hint="default"/>
        <w:lang w:val="cs-CZ" w:eastAsia="en-US" w:bidi="ar-SA"/>
      </w:rPr>
    </w:lvl>
  </w:abstractNum>
  <w:abstractNum w:abstractNumId="1" w15:restartNumberingAfterBreak="0">
    <w:nsid w:val="788963DF"/>
    <w:multiLevelType w:val="hybridMultilevel"/>
    <w:tmpl w:val="4008ECD4"/>
    <w:lvl w:ilvl="0" w:tplc="1AE4F984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F0"/>
    <w:rsid w:val="000872FF"/>
    <w:rsid w:val="00143A3F"/>
    <w:rsid w:val="00191D1A"/>
    <w:rsid w:val="00196370"/>
    <w:rsid w:val="002A195D"/>
    <w:rsid w:val="003220BE"/>
    <w:rsid w:val="00325FC9"/>
    <w:rsid w:val="00366C91"/>
    <w:rsid w:val="003D471A"/>
    <w:rsid w:val="004131F6"/>
    <w:rsid w:val="00520F5B"/>
    <w:rsid w:val="00583244"/>
    <w:rsid w:val="00583F3D"/>
    <w:rsid w:val="005961CA"/>
    <w:rsid w:val="006626B9"/>
    <w:rsid w:val="00757D4E"/>
    <w:rsid w:val="00762CD2"/>
    <w:rsid w:val="0078619E"/>
    <w:rsid w:val="00793904"/>
    <w:rsid w:val="008533D6"/>
    <w:rsid w:val="008756B6"/>
    <w:rsid w:val="00914C4B"/>
    <w:rsid w:val="00940E75"/>
    <w:rsid w:val="00B22CF3"/>
    <w:rsid w:val="00B6631D"/>
    <w:rsid w:val="00C3064A"/>
    <w:rsid w:val="00C679D2"/>
    <w:rsid w:val="00CC75A0"/>
    <w:rsid w:val="00D619D0"/>
    <w:rsid w:val="00D72596"/>
    <w:rsid w:val="00DB03F0"/>
    <w:rsid w:val="00DC4510"/>
    <w:rsid w:val="00DE6792"/>
    <w:rsid w:val="00E73DCD"/>
    <w:rsid w:val="00EF46BA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941C75"/>
  <w15:docId w15:val="{E8393F00-441A-45D5-BB7F-4D1D57A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B03F0"/>
    <w:rPr>
      <w:rFonts w:ascii="Calibri" w:eastAsia="Calibri" w:hAnsi="Calibri" w:cs="Calibri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D4E"/>
    <w:pPr>
      <w:keepNext/>
      <w:keepLines/>
      <w:widowControl/>
      <w:numPr>
        <w:numId w:val="2"/>
      </w:numPr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D4E"/>
    <w:pPr>
      <w:keepNext/>
      <w:keepLines/>
      <w:widowControl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3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B03F0"/>
    <w:rPr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DB03F0"/>
    <w:pPr>
      <w:spacing w:before="51"/>
      <w:ind w:left="578" w:hanging="362"/>
      <w:outlineLvl w:val="1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rsid w:val="00DB03F0"/>
    <w:pPr>
      <w:spacing w:before="43"/>
      <w:ind w:left="1061" w:right="1118" w:hanging="249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DB03F0"/>
    <w:pPr>
      <w:spacing w:before="51"/>
      <w:ind w:left="578" w:hanging="362"/>
    </w:pPr>
  </w:style>
  <w:style w:type="paragraph" w:customStyle="1" w:styleId="TableParagraph">
    <w:name w:val="Table Paragraph"/>
    <w:basedOn w:val="Normln"/>
    <w:uiPriority w:val="1"/>
    <w:qFormat/>
    <w:rsid w:val="00DB03F0"/>
    <w:pPr>
      <w:ind w:left="106"/>
    </w:pPr>
  </w:style>
  <w:style w:type="paragraph" w:styleId="Zhlav">
    <w:name w:val="header"/>
    <w:basedOn w:val="Normln"/>
    <w:link w:val="ZhlavChar"/>
    <w:unhideWhenUsed/>
    <w:rsid w:val="00662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26B9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6626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6B9"/>
    <w:rPr>
      <w:rFonts w:ascii="Calibri" w:eastAsia="Calibri" w:hAnsi="Calibri" w:cs="Calibri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757D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757D4E"/>
    <w:rPr>
      <w:rFonts w:asciiTheme="majorHAnsi" w:eastAsiaTheme="majorEastAsia" w:hAnsiTheme="majorHAnsi" w:cstheme="majorBidi"/>
      <w:color w:val="365F91" w:themeColor="accent1" w:themeShade="BF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DDEE6-26C8-4FFB-B5F2-5D3CBE792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E6060-0701-4E5A-A8DE-435CADD8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F3D6B-F7A0-4C62-9CA7-28820670D0A4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Zakázky, kdy se na příjemce ve vztahu ke konkrétní zakázce vztahuje zákon č</vt:lpstr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Zakázky, kdy se na příjemce ve vztahu ke konkrétní zakázce vztahuje zákon č</dc:title>
  <dc:creator>Jana Hegedüsová</dc:creator>
  <cp:lastModifiedBy>BENEŠOVÁ Michaela, Ing.</cp:lastModifiedBy>
  <cp:revision>2</cp:revision>
  <cp:lastPrinted>2020-05-19T10:35:00Z</cp:lastPrinted>
  <dcterms:created xsi:type="dcterms:W3CDTF">2022-04-05T09:55:00Z</dcterms:created>
  <dcterms:modified xsi:type="dcterms:W3CDTF">2022-04-05T09:55:00Z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2020-05-18T00:00:00Z</vt:filetime>
  </property>
  <property fmtid="{D5CDD505-2E9C-101B-9397-08002B2CF9AE}" pid="5" name="ContentTypeId">
    <vt:lpwstr>0x0101000D0F01CB19E6B34D82407C513839D576</vt:lpwstr>
  </property>
</Properties>
</file>