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00" w:rsidRPr="00524D43" w:rsidRDefault="00E90800" w:rsidP="00E90800">
      <w:pPr>
        <w:rPr>
          <w:rFonts w:cstheme="minorHAnsi"/>
          <w:b/>
        </w:rPr>
      </w:pPr>
      <w:r w:rsidRPr="00524D43">
        <w:rPr>
          <w:rFonts w:cstheme="minorHAnsi"/>
          <w:b/>
        </w:rPr>
        <w:t xml:space="preserve">Podmínky použití podpory </w:t>
      </w:r>
      <w:r w:rsidRPr="00400DA4">
        <w:rPr>
          <w:rFonts w:eastAsia="Arial" w:cstheme="minorHAnsi"/>
          <w:highlight w:val="lightGray"/>
        </w:rPr>
        <w:t xml:space="preserve">Operačního programu </w:t>
      </w:r>
      <w:r w:rsidRPr="00400DA4">
        <w:rPr>
          <w:rFonts w:ascii="Calibri" w:hAnsi="Calibri" w:cs="Calibri"/>
          <w:highlight w:val="lightGray"/>
        </w:rPr>
        <w:t>Azylového, m</w:t>
      </w:r>
      <w:r>
        <w:rPr>
          <w:rFonts w:ascii="Calibri" w:hAnsi="Calibri" w:cs="Calibri"/>
          <w:highlight w:val="lightGray"/>
        </w:rPr>
        <w:t>igračního a integračního fondu</w:t>
      </w:r>
      <w:r w:rsidRPr="00524D43" w:rsidDel="001D4B0A">
        <w:rPr>
          <w:rFonts w:cstheme="minorHAnsi"/>
          <w:b/>
        </w:rPr>
        <w:t xml:space="preserve"> </w:t>
      </w:r>
      <w:r w:rsidRPr="00524D43">
        <w:rPr>
          <w:rFonts w:cstheme="minorHAnsi"/>
          <w:b/>
        </w:rPr>
        <w:t>(dále jen „Podmínky“)</w:t>
      </w:r>
    </w:p>
    <w:p w:rsidR="00E90800" w:rsidRPr="00524D43" w:rsidRDefault="00E90800" w:rsidP="00E90800">
      <w:pPr>
        <w:rPr>
          <w:rFonts w:cstheme="minorHAnsi"/>
        </w:rPr>
      </w:pPr>
      <w:r w:rsidRPr="00524D43">
        <w:rPr>
          <w:rFonts w:cstheme="minorHAnsi"/>
        </w:rPr>
        <w:t>Na základě žádosti o podporu z </w:t>
      </w:r>
      <w:r w:rsidRPr="00400DA4">
        <w:rPr>
          <w:rFonts w:eastAsia="Arial" w:cstheme="minorHAnsi"/>
          <w:highlight w:val="lightGray"/>
        </w:rPr>
        <w:t xml:space="preserve">Operačního programu </w:t>
      </w:r>
      <w:r w:rsidRPr="00400DA4">
        <w:rPr>
          <w:rFonts w:ascii="Calibri" w:hAnsi="Calibri" w:cs="Calibri"/>
          <w:highlight w:val="lightGray"/>
        </w:rPr>
        <w:t>Azylového, migračního a integra</w:t>
      </w:r>
      <w:r>
        <w:rPr>
          <w:rFonts w:ascii="Calibri" w:hAnsi="Calibri" w:cs="Calibri"/>
          <w:highlight w:val="lightGray"/>
        </w:rPr>
        <w:t>čního fondu (dále jen „OP AMIF“</w:t>
      </w:r>
      <w:r w:rsidRPr="00400DA4">
        <w:rPr>
          <w:rFonts w:ascii="Calibri" w:hAnsi="Calibri" w:cs="Calibri"/>
          <w:highlight w:val="lightGray"/>
        </w:rPr>
        <w:t>)</w:t>
      </w:r>
      <w:r w:rsidRPr="00524D43">
        <w:rPr>
          <w:rFonts w:cstheme="minorHAnsi"/>
        </w:rPr>
        <w:t xml:space="preserve"> jsou podmínky realizace projektu […]</w:t>
      </w:r>
      <w:r w:rsidRPr="00524D43">
        <w:rPr>
          <w:rStyle w:val="Znakapoznpodarou"/>
          <w:rFonts w:cstheme="minorHAnsi"/>
        </w:rPr>
        <w:footnoteReference w:id="1"/>
      </w:r>
      <w:r w:rsidRPr="00524D43">
        <w:rPr>
          <w:rFonts w:cstheme="minorHAnsi"/>
        </w:rPr>
        <w:t xml:space="preserve"> registrační číslo […] (dále jen „projekt“) stanoveny takto:</w:t>
      </w:r>
    </w:p>
    <w:p w:rsidR="00E90800" w:rsidRPr="00524D43" w:rsidRDefault="00E90800" w:rsidP="00E90800">
      <w:pPr>
        <w:rPr>
          <w:rFonts w:cstheme="minorHAnsi"/>
        </w:rPr>
      </w:pP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I - Obecné vymezení</w:t>
      </w:r>
    </w:p>
    <w:p w:rsidR="00E90800" w:rsidRPr="00524D43" w:rsidRDefault="00E90800" w:rsidP="00E90800">
      <w:pPr>
        <w:pStyle w:val="slovanseznam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Specifikace útvaru odpovědného za roli příjemce podpory z </w:t>
      </w:r>
      <w:r w:rsidRPr="001D4B0A">
        <w:rPr>
          <w:rFonts w:asciiTheme="minorHAnsi" w:hAnsiTheme="minorHAnsi" w:cstheme="minorHAnsi"/>
          <w:b/>
          <w:bCs/>
          <w:sz w:val="22"/>
          <w:szCs w:val="22"/>
        </w:rPr>
        <w:t>OP AMIF/OP FVB/OP NSHV</w:t>
      </w: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 (dále jen „příjemce“)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i/>
          <w:iCs/>
          <w:highlight w:val="lightGray"/>
        </w:rPr>
      </w:pPr>
      <w:r>
        <w:rPr>
          <w:rFonts w:cstheme="minorHAnsi"/>
          <w:highlight w:val="lightGray"/>
        </w:rPr>
        <w:t>Název příjemce: Česká republika – Ministerstvo vnitra</w:t>
      </w:r>
    </w:p>
    <w:p w:rsidR="00E90800" w:rsidRDefault="00E90800" w:rsidP="00E90800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IČ: 00007064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60"/>
        <w:rPr>
          <w:rFonts w:cstheme="minorHAnsi"/>
          <w:i/>
          <w:iCs/>
          <w:highlight w:val="lightGray"/>
        </w:rPr>
      </w:pPr>
      <w:r>
        <w:rPr>
          <w:rFonts w:cstheme="minorHAnsi"/>
          <w:highlight w:val="lightGray"/>
        </w:rPr>
        <w:t xml:space="preserve">Adresa sídla: </w:t>
      </w:r>
      <w:r w:rsidRPr="00957425">
        <w:rPr>
          <w:rFonts w:cstheme="minorHAnsi"/>
        </w:rPr>
        <w:t>Nad Štolou 936/3, 170 34, Praha 7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20"/>
        <w:rPr>
          <w:rFonts w:cstheme="minorHAnsi"/>
        </w:rPr>
      </w:pPr>
      <w:r>
        <w:rPr>
          <w:rFonts w:cstheme="minorHAnsi"/>
          <w:highlight w:val="lightGray"/>
        </w:rPr>
        <w:t>Jejímž</w:t>
      </w:r>
      <w:r w:rsidRPr="00524D43">
        <w:rPr>
          <w:rFonts w:cstheme="minorHAnsi"/>
          <w:highlight w:val="lightGray"/>
        </w:rPr>
        <w:t xml:space="preserve"> jménem jedná: […]</w:t>
      </w:r>
      <w:r w:rsidRPr="00524D43">
        <w:rPr>
          <w:rFonts w:cstheme="minorHAnsi"/>
        </w:rPr>
        <w:t xml:space="preserve"> </w:t>
      </w:r>
    </w:p>
    <w:p w:rsidR="00E90800" w:rsidRPr="00524D43" w:rsidRDefault="00E90800" w:rsidP="00E90800">
      <w:pPr>
        <w:pStyle w:val="slovanseznam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Výše prostředků na realizaci projektu</w:t>
      </w:r>
    </w:p>
    <w:p w:rsidR="00E90800" w:rsidRPr="00524D43" w:rsidRDefault="00E90800" w:rsidP="00E90800">
      <w:pPr>
        <w:pStyle w:val="slovanseznam"/>
        <w:numPr>
          <w:ilvl w:val="1"/>
          <w:numId w:val="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E90800" w:rsidRPr="00524D43" w:rsidTr="00935C7A">
        <w:trPr>
          <w:tblHeader/>
        </w:trPr>
        <w:tc>
          <w:tcPr>
            <w:tcW w:w="4680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b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b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Částka</w:t>
            </w:r>
          </w:p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(v Kč)</w:t>
            </w:r>
          </w:p>
        </w:tc>
        <w:tc>
          <w:tcPr>
            <w:tcW w:w="2268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b/>
                <w:snapToGrid w:val="0"/>
                <w:sz w:val="22"/>
              </w:rPr>
              <w:t>Podíl na celkovém rozpočtu (v %)</w:t>
            </w:r>
          </w:p>
        </w:tc>
      </w:tr>
      <w:tr w:rsidR="00E90800" w:rsidRPr="00524D43" w:rsidTr="00935C7A">
        <w:tc>
          <w:tcPr>
            <w:tcW w:w="4680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524D43">
              <w:rPr>
                <w:rFonts w:cstheme="minorHAnsi"/>
                <w:snapToGrid w:val="0"/>
                <w:sz w:val="22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[...]</w:t>
            </w:r>
          </w:p>
        </w:tc>
        <w:tc>
          <w:tcPr>
            <w:tcW w:w="2268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-</w:t>
            </w:r>
          </w:p>
        </w:tc>
      </w:tr>
      <w:tr w:rsidR="00E90800" w:rsidRPr="00524D43" w:rsidTr="00935C7A">
        <w:tc>
          <w:tcPr>
            <w:tcW w:w="4680" w:type="dxa"/>
            <w:vAlign w:val="center"/>
          </w:tcPr>
          <w:p w:rsidR="00E90800" w:rsidRPr="00524D43" w:rsidRDefault="00E90800" w:rsidP="00E90800">
            <w:pPr>
              <w:pStyle w:val="Tabulkatext"/>
              <w:numPr>
                <w:ilvl w:val="0"/>
                <w:numId w:val="12"/>
              </w:numPr>
              <w:spacing w:before="0" w:after="0"/>
              <w:jc w:val="both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bCs/>
                <w:snapToGrid w:val="0"/>
                <w:sz w:val="22"/>
              </w:rPr>
              <w:t xml:space="preserve">z toho z </w:t>
            </w:r>
            <w:r w:rsidRPr="00400DA4">
              <w:rPr>
                <w:rFonts w:cstheme="minorHAnsi"/>
                <w:bCs/>
                <w:snapToGrid w:val="0"/>
                <w:sz w:val="22"/>
                <w:highlight w:val="lightGray"/>
              </w:rPr>
              <w:t xml:space="preserve">Azylového, migračního </w:t>
            </w:r>
            <w:r>
              <w:rPr>
                <w:rFonts w:cstheme="minorHAnsi"/>
                <w:bCs/>
                <w:snapToGrid w:val="0"/>
                <w:sz w:val="22"/>
                <w:highlight w:val="lightGray"/>
              </w:rPr>
              <w:t>a integračního fondu</w:t>
            </w:r>
            <w:r w:rsidRPr="00524D43">
              <w:rPr>
                <w:rFonts w:cstheme="minorHAnsi"/>
                <w:bCs/>
                <w:snapToGrid w:val="0"/>
                <w:sz w:val="22"/>
              </w:rPr>
              <w:t>, tj. z prostředků ze státního rozpočtu na předfinancování výdajů, k</w:t>
            </w:r>
            <w:r w:rsidRPr="00B464ED">
              <w:rPr>
                <w:rFonts w:cstheme="minorHAnsi"/>
                <w:bCs/>
                <w:snapToGrid w:val="0"/>
                <w:sz w:val="22"/>
              </w:rPr>
              <w:t>teré mají být kryty prostředky z rozpočtu </w:t>
            </w:r>
            <w:r w:rsidRPr="00B464ED">
              <w:rPr>
                <w:bCs/>
                <w:snapToGrid w:val="0"/>
                <w:sz w:val="22"/>
              </w:rPr>
              <w:t>Evropské unie kromě prostředků z Národního fondu (§ 44 odst. 2 písm. g) rozpočtových pravidel);</w:t>
            </w:r>
            <w:r w:rsidRPr="006F5025">
              <w:rPr>
                <w:rFonts w:eastAsia="Arial" w:cstheme="minorHAnsi"/>
                <w:bCs/>
                <w:snapToGrid w:val="0"/>
              </w:rPr>
              <w:t> </w:t>
            </w:r>
          </w:p>
        </w:tc>
        <w:tc>
          <w:tcPr>
            <w:tcW w:w="2124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</w:p>
        </w:tc>
      </w:tr>
      <w:tr w:rsidR="00E90800" w:rsidRPr="00524D43" w:rsidTr="00935C7A">
        <w:tc>
          <w:tcPr>
            <w:tcW w:w="4680" w:type="dxa"/>
            <w:vAlign w:val="center"/>
          </w:tcPr>
          <w:p w:rsidR="00E90800" w:rsidRPr="00524D43" w:rsidRDefault="00E90800" w:rsidP="00E90800">
            <w:pPr>
              <w:pStyle w:val="Tabulkatext"/>
              <w:numPr>
                <w:ilvl w:val="0"/>
                <w:numId w:val="12"/>
              </w:numPr>
              <w:spacing w:before="0" w:after="0"/>
              <w:jc w:val="both"/>
              <w:rPr>
                <w:rFonts w:cstheme="minorHAnsi"/>
                <w:bCs/>
                <w:snapToGrid w:val="0"/>
                <w:sz w:val="22"/>
              </w:rPr>
            </w:pPr>
            <w:r w:rsidRPr="00524D43">
              <w:rPr>
                <w:rFonts w:cstheme="minorHAnsi"/>
                <w:bCs/>
                <w:snapToGrid w:val="0"/>
                <w:sz w:val="22"/>
              </w:rPr>
              <w:t>z toho státní rozpočet, tj. prostředky státního rozpočtu na část národního spoluf</w:t>
            </w:r>
            <w:r>
              <w:rPr>
                <w:rFonts w:cstheme="minorHAnsi"/>
                <w:bCs/>
                <w:snapToGrid w:val="0"/>
                <w:sz w:val="22"/>
              </w:rPr>
              <w:t>inancování (§ 44 odst. 2 písm. j</w:t>
            </w:r>
            <w:r w:rsidRPr="00524D43">
              <w:rPr>
                <w:rFonts w:cstheme="minorHAnsi"/>
                <w:bCs/>
                <w:snapToGrid w:val="0"/>
                <w:sz w:val="22"/>
              </w:rPr>
              <w:t xml:space="preserve">) rozpočtových pravidel). </w:t>
            </w:r>
          </w:p>
        </w:tc>
        <w:tc>
          <w:tcPr>
            <w:tcW w:w="2124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</w:tc>
        <w:tc>
          <w:tcPr>
            <w:tcW w:w="2268" w:type="dxa"/>
            <w:vAlign w:val="center"/>
          </w:tcPr>
          <w:p w:rsidR="00E90800" w:rsidRPr="00524D43" w:rsidRDefault="00E90800" w:rsidP="00935C7A">
            <w:pPr>
              <w:pStyle w:val="Tabulkatext"/>
              <w:spacing w:before="0" w:after="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[…]</w:t>
            </w:r>
          </w:p>
        </w:tc>
      </w:tr>
    </w:tbl>
    <w:p w:rsidR="00E90800" w:rsidRPr="00524D43" w:rsidRDefault="00E90800" w:rsidP="00E90800">
      <w:pPr>
        <w:pStyle w:val="slovanseznam"/>
        <w:numPr>
          <w:ilvl w:val="1"/>
          <w:numId w:val="5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:rsidR="00E90800" w:rsidRPr="00524D43" w:rsidRDefault="00E90800" w:rsidP="00E90800">
      <w:pPr>
        <w:pStyle w:val="slovanseznam"/>
        <w:numPr>
          <w:ilvl w:val="1"/>
          <w:numId w:val="5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Pro zapojení zdrojů financování dle výše uvedené tabulky jsou rozhodující hodnoty podílů vyjádřené v procentech. Vyjádření v Kč je jako závazné a maximálně možné stanoveno pouze pro zdroj </w:t>
      </w:r>
      <w:r w:rsidRPr="00400DA4">
        <w:rPr>
          <w:rFonts w:asciiTheme="minorHAnsi" w:hAnsiTheme="minorHAnsi" w:cstheme="minorHAnsi"/>
          <w:sz w:val="22"/>
          <w:szCs w:val="22"/>
          <w:highlight w:val="lightGray"/>
        </w:rPr>
        <w:t>„Azylový, migrační a integrač</w:t>
      </w:r>
      <w:r>
        <w:rPr>
          <w:rFonts w:asciiTheme="minorHAnsi" w:hAnsiTheme="minorHAnsi" w:cstheme="minorHAnsi"/>
          <w:sz w:val="22"/>
          <w:szCs w:val="22"/>
          <w:highlight w:val="lightGray"/>
        </w:rPr>
        <w:t>ní fond</w:t>
      </w:r>
      <w:r w:rsidRPr="00400DA4">
        <w:rPr>
          <w:rFonts w:asciiTheme="minorHAnsi" w:hAnsiTheme="minorHAnsi" w:cstheme="minorHAnsi"/>
          <w:sz w:val="22"/>
          <w:szCs w:val="22"/>
          <w:highlight w:val="lightGray"/>
        </w:rPr>
        <w:t>“</w:t>
      </w:r>
      <w:r w:rsidRPr="00524D43">
        <w:rPr>
          <w:rFonts w:asciiTheme="minorHAnsi" w:hAnsiTheme="minorHAnsi" w:cstheme="minorHAnsi"/>
          <w:sz w:val="22"/>
          <w:szCs w:val="22"/>
        </w:rPr>
        <w:t>, pro další zdroj se jedná o vyjádření pouze orientační.</w:t>
      </w:r>
    </w:p>
    <w:p w:rsidR="00E90800" w:rsidRPr="00524D43" w:rsidRDefault="00E90800" w:rsidP="00E90800">
      <w:pPr>
        <w:pStyle w:val="slovanseznam"/>
        <w:numPr>
          <w:ilvl w:val="1"/>
          <w:numId w:val="5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Skutečná výše podpory, která bude příjemci poskytnuta, bude určena na základě skutečně vzniklých, odůvodněných a řádně prokázaných způsobilých výdajů. Výše podpory bude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snížena o ty příjmy, které projekt vytvoří v průběhu své realizace. </w:t>
      </w:r>
    </w:p>
    <w:p w:rsidR="00E90800" w:rsidRPr="00524D43" w:rsidRDefault="00E90800" w:rsidP="00E90800">
      <w:pPr>
        <w:pStyle w:val="slovanseznam"/>
        <w:numPr>
          <w:ilvl w:val="1"/>
          <w:numId w:val="5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Režim financování projektu: ex-post.</w:t>
      </w:r>
    </w:p>
    <w:p w:rsidR="00E90800" w:rsidRPr="00524D43" w:rsidRDefault="00E90800" w:rsidP="00E90800">
      <w:pPr>
        <w:pStyle w:val="slovanseznam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Účel podpory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rámci realizace projektu identifikovaného názvem a registračním číslem v úvodní části těchto </w:t>
      </w:r>
      <w:r w:rsidRPr="00524D43">
        <w:rPr>
          <w:rFonts w:asciiTheme="minorHAnsi" w:hAnsiTheme="minorHAnsi" w:cstheme="minorHAnsi"/>
          <w:sz w:val="22"/>
          <w:szCs w:val="22"/>
        </w:rPr>
        <w:lastRenderedPageBreak/>
        <w:t>Podmínek je účelem podpory: […]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2"/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90800" w:rsidRPr="00524D43" w:rsidRDefault="00E90800" w:rsidP="00E90800">
      <w:pPr>
        <w:pStyle w:val="slovanseznam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Lhůta, v níž má být dosaženo účelu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 xml:space="preserve">Účelu podpory musí být dosaženo ve lhůtě: </w:t>
      </w:r>
    </w:p>
    <w:p w:rsidR="00E90800" w:rsidRPr="00524D43" w:rsidRDefault="00E90800" w:rsidP="00E90800">
      <w:pPr>
        <w:pStyle w:val="Zhlav"/>
        <w:numPr>
          <w:ilvl w:val="0"/>
          <w:numId w:val="2"/>
        </w:numPr>
        <w:tabs>
          <w:tab w:val="left" w:pos="5940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>datum zahájení realizace projektu:</w:t>
      </w:r>
      <w:r w:rsidRPr="00524D43">
        <w:rPr>
          <w:rFonts w:cstheme="minorHAnsi"/>
        </w:rPr>
        <w:tab/>
        <w:t>[…]</w:t>
      </w:r>
    </w:p>
    <w:p w:rsidR="00E90800" w:rsidRPr="00524D43" w:rsidRDefault="00E90800" w:rsidP="00E90800">
      <w:pPr>
        <w:pStyle w:val="Zhlav"/>
        <w:numPr>
          <w:ilvl w:val="0"/>
          <w:numId w:val="2"/>
        </w:numPr>
        <w:tabs>
          <w:tab w:val="left" w:pos="5940"/>
        </w:tabs>
        <w:spacing w:before="120" w:after="120"/>
        <w:rPr>
          <w:rFonts w:cstheme="minorHAnsi"/>
        </w:rPr>
      </w:pPr>
      <w:r w:rsidRPr="00524D43">
        <w:rPr>
          <w:rFonts w:cstheme="minorHAnsi"/>
        </w:rPr>
        <w:t>datum ukončení realizace projektu nejpozději do:</w:t>
      </w:r>
      <w:r w:rsidRPr="00524D43">
        <w:rPr>
          <w:rFonts w:cstheme="minorHAnsi"/>
        </w:rPr>
        <w:tab/>
        <w:t>[…]</w:t>
      </w:r>
    </w:p>
    <w:p w:rsidR="00E90800" w:rsidRPr="00524D43" w:rsidRDefault="00E90800" w:rsidP="00E90800">
      <w:pPr>
        <w:pStyle w:val="slovanseznam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Vzájemná komunikace </w:t>
      </w:r>
      <w:r>
        <w:rPr>
          <w:rFonts w:asciiTheme="minorHAnsi" w:hAnsiTheme="minorHAnsi" w:cstheme="minorHAnsi"/>
          <w:b/>
          <w:bCs/>
          <w:sz w:val="22"/>
          <w:szCs w:val="22"/>
        </w:rPr>
        <w:t>MV</w:t>
      </w: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 a příjemce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Příjemce a </w:t>
      </w:r>
      <w:r>
        <w:rPr>
          <w:rFonts w:cstheme="minorHAnsi"/>
        </w:rPr>
        <w:t>útvar zajišťující roli poskytovatele podpory z </w:t>
      </w:r>
      <w:r>
        <w:rPr>
          <w:rFonts w:cstheme="minorHAnsi"/>
          <w:highlight w:val="lightGray"/>
        </w:rPr>
        <w:t>OP AMIF</w:t>
      </w:r>
      <w:r>
        <w:rPr>
          <w:rFonts w:cstheme="minorHAnsi"/>
        </w:rPr>
        <w:t xml:space="preserve"> (dále jen „MV“)</w:t>
      </w:r>
      <w:r w:rsidRPr="00524D43">
        <w:rPr>
          <w:rFonts w:cstheme="minorHAnsi"/>
        </w:rPr>
        <w:t xml:space="preserve"> budou v případě doručování písemností, které musí být opatřeny podpisem osoby oprávněné jednat za daný subjekt, přednostně používat informační systém MS2021+. Příjemce je povinen zajistit, aby se seznámil se všemi zprávami, které mu budou od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doručeny prostřednictvím MS2021+. 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E5A78">
        <w:rPr>
          <w:rFonts w:cstheme="minorHAnsi"/>
          <w:b/>
        </w:rPr>
        <w:t>Část II – Obecné povinnosti příjemce</w:t>
      </w:r>
      <w:r w:rsidRPr="00524D43">
        <w:rPr>
          <w:rFonts w:cstheme="minorHAnsi"/>
          <w:b/>
        </w:rPr>
        <w:t xml:space="preserve">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Užití podpory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Při použití podpory je příjemce povinen dodržovat podmínky stanovené právními předpisy EU a ČR, těmito Podmínkami a </w:t>
      </w:r>
      <w:r>
        <w:rPr>
          <w:rFonts w:asciiTheme="minorHAnsi" w:hAnsiTheme="minorHAnsi" w:cstheme="minorHAnsi"/>
          <w:sz w:val="22"/>
          <w:szCs w:val="22"/>
        </w:rPr>
        <w:t>pravidly 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, kterými jsou: </w:t>
      </w:r>
    </w:p>
    <w:p w:rsidR="00E90800" w:rsidRPr="00524D43" w:rsidRDefault="00E90800" w:rsidP="00E90800">
      <w:pPr>
        <w:pStyle w:val="slovanseznam"/>
        <w:numPr>
          <w:ilvl w:val="0"/>
          <w:numId w:val="15"/>
        </w:numPr>
        <w:spacing w:before="120" w:after="120"/>
        <w:ind w:left="106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>ravidl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 příjemce v rámci </w:t>
      </w:r>
      <w:r>
        <w:rPr>
          <w:rFonts w:asciiTheme="minorHAnsi" w:hAnsiTheme="minorHAnsi" w:cstheme="minorHAnsi"/>
          <w:sz w:val="22"/>
          <w:szCs w:val="22"/>
        </w:rPr>
        <w:t>FEUVV – obecná část</w:t>
      </w:r>
      <w:r w:rsidRPr="00524D43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E90800" w:rsidRPr="00524D43" w:rsidRDefault="00E90800" w:rsidP="00E90800">
      <w:pPr>
        <w:pStyle w:val="slovanseznam"/>
        <w:numPr>
          <w:ilvl w:val="0"/>
          <w:numId w:val="15"/>
        </w:numPr>
        <w:spacing w:before="120"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[…]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3"/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jsou uveřejněna na webovém portálu </w:t>
      </w:r>
      <w:r w:rsidRPr="004B35B4">
        <w:rPr>
          <w:rFonts w:asciiTheme="minorHAnsi" w:hAnsiTheme="minorHAnsi" w:cstheme="minorHAnsi"/>
          <w:sz w:val="22"/>
          <w:szCs w:val="22"/>
        </w:rPr>
        <w:t>MV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20262">
          <w:rPr>
            <w:rStyle w:val="Hypertextovodkaz"/>
            <w:rFonts w:ascii="Calibri" w:hAnsi="Calibri" w:cs="Calibri"/>
            <w:sz w:val="22"/>
            <w:szCs w:val="22"/>
          </w:rPr>
          <w:t>https://www.mvcr.cz/fondyeu/</w:t>
        </w:r>
      </w:hyperlink>
      <w:r w:rsidRPr="00120262">
        <w:rPr>
          <w:rFonts w:ascii="Calibri" w:hAnsi="Calibri" w:cs="Calibri"/>
          <w:sz w:val="22"/>
          <w:szCs w:val="22"/>
        </w:rPr>
        <w:t>.</w:t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řídit se při realizaci projektu podmínkami upravenými v </w:t>
      </w:r>
      <w:r>
        <w:rPr>
          <w:rFonts w:asciiTheme="minorHAnsi" w:hAnsiTheme="minorHAnsi" w:cstheme="minorHAnsi"/>
          <w:sz w:val="22"/>
          <w:szCs w:val="22"/>
        </w:rPr>
        <w:t>pravidlech FEUVV</w:t>
      </w:r>
      <w:r w:rsidRPr="00524D43">
        <w:rPr>
          <w:rFonts w:asciiTheme="minorHAnsi" w:hAnsiTheme="minorHAnsi" w:cstheme="minorHAnsi"/>
          <w:sz w:val="22"/>
          <w:szCs w:val="22"/>
        </w:rPr>
        <w:t>, nestanoví-li tyto Podmínky jinak.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jsou pro příjemce závazná ve verzi platné v den učinění příslušného úkonu souvisejícího s realizací projektu, nebo v den porušení příslušného ustanovení plynoucího z právních předpisů, Podmínek či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Při zadávání zakázek je pro příjemce závazná verze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platná v den zahájení zadávání zakázky.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Splnění účelu a realizace projektu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splnit účel podpory uvedený v části I bodě 3 těchto Podmínek.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realizovat projekt v souladu s přílohou č. 1 těchto Podmínek, a to ve znění jejích případných změn, k jejichž provedení je příjemce oprávněn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, anebo ve znění změn, které </w:t>
      </w:r>
      <w:r>
        <w:rPr>
          <w:rFonts w:asciiTheme="minorHAnsi" w:hAnsiTheme="minorHAnsi" w:cstheme="minorHAnsi"/>
          <w:sz w:val="22"/>
          <w:szCs w:val="22"/>
        </w:rPr>
        <w:t>MV</w:t>
      </w:r>
      <w:r w:rsidRPr="00524D43">
        <w:rPr>
          <w:rFonts w:asciiTheme="minorHAnsi" w:hAnsiTheme="minorHAnsi" w:cstheme="minorHAnsi"/>
          <w:sz w:val="22"/>
          <w:szCs w:val="22"/>
        </w:rPr>
        <w:t xml:space="preserve">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schválilo.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Způsobilé výdaje</w:t>
      </w:r>
    </w:p>
    <w:p w:rsidR="00E90800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FEUVV, a je možné je dle 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považovat za způsobilé.</w:t>
      </w:r>
    </w:p>
    <w:p w:rsidR="00E90800" w:rsidRPr="0077666F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7666F">
        <w:rPr>
          <w:rFonts w:asciiTheme="minorHAnsi" w:hAnsiTheme="minorHAnsi" w:cstheme="minorHAnsi"/>
          <w:sz w:val="22"/>
          <w:szCs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Příjemce je povinen zajistit úhradu veškerých výdajů projektu, které nejsou kryty výše uvedenou podporou (např. nezpůsobilé výdaje), aby byl dodržen účel poskytnutí podpory na daný projekt.</w:t>
      </w:r>
    </w:p>
    <w:p w:rsidR="00E90800" w:rsidRDefault="00E90800" w:rsidP="00E90800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eastAsia="Times New Roman" w:cstheme="minorHAnsi"/>
          <w:highlight w:val="lightGray"/>
          <w:lang w:eastAsia="cs-CZ"/>
        </w:rPr>
      </w:pPr>
      <w:r w:rsidRPr="00C51D20">
        <w:rPr>
          <w:rFonts w:eastAsia="Times New Roman" w:cstheme="minorHAnsi"/>
          <w:highlight w:val="lightGray"/>
          <w:lang w:eastAsia="cs-CZ"/>
        </w:rPr>
        <w:t xml:space="preserve">Část podpory je určena na úhradu způsobilých výdajů, které MV stanovilo jakožto paušální na základě jednotkových nákladů v návaznosti na článek 53 odst. 1 písm. b) nařízení Evropského parlamentu a Rady (EU) č. 1060/2021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jen „obecné nařízení“). </w:t>
      </w:r>
      <w:r w:rsidRPr="00524D43">
        <w:rPr>
          <w:rFonts w:eastAsia="Times New Roman" w:cstheme="minorHAnsi"/>
          <w:highlight w:val="lightGray"/>
          <w:lang w:eastAsia="cs-CZ"/>
        </w:rPr>
        <w:t xml:space="preserve">Tyto výdaje mohou být považovány za způsobilé pouze tehdy, pokud příjemce doloží v souladu s </w:t>
      </w:r>
      <w:r>
        <w:rPr>
          <w:rFonts w:eastAsia="Times New Roman" w:cstheme="minorHAnsi"/>
          <w:highlight w:val="lightGray"/>
          <w:lang w:eastAsia="cs-CZ"/>
        </w:rPr>
        <w:t>p</w:t>
      </w:r>
      <w:r w:rsidRPr="00524D43">
        <w:rPr>
          <w:rFonts w:eastAsia="Times New Roman" w:cstheme="minorHAnsi"/>
          <w:highlight w:val="lightGray"/>
          <w:lang w:eastAsia="cs-CZ"/>
        </w:rPr>
        <w:t xml:space="preserve">ravidly </w:t>
      </w:r>
      <w:r>
        <w:rPr>
          <w:rFonts w:eastAsia="Times New Roman" w:cstheme="minorHAnsi"/>
          <w:highlight w:val="lightGray"/>
          <w:lang w:eastAsia="cs-CZ"/>
        </w:rPr>
        <w:t>FEUVV</w:t>
      </w:r>
      <w:r w:rsidRPr="006F5025">
        <w:rPr>
          <w:rFonts w:eastAsia="Times New Roman" w:cstheme="minorHAnsi"/>
          <w:highlight w:val="lightGray"/>
          <w:lang w:eastAsia="cs-CZ"/>
        </w:rPr>
        <w:t xml:space="preserve"> </w:t>
      </w:r>
      <w:r w:rsidRPr="00524D43">
        <w:rPr>
          <w:rFonts w:eastAsia="Times New Roman" w:cstheme="minorHAnsi"/>
          <w:highlight w:val="lightGray"/>
          <w:lang w:eastAsia="cs-CZ"/>
        </w:rPr>
        <w:t>dosažení jednotek, k nimž byly poskytovatelem stanoveny jednotkové náklady.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103"/>
        <w:gridCol w:w="1842"/>
      </w:tblGrid>
      <w:tr w:rsidR="00E90800" w:rsidRPr="006F5025" w:rsidTr="00935C7A">
        <w:trPr>
          <w:tblHeader/>
        </w:trPr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Jednotka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Definice jednotky</w:t>
            </w:r>
          </w:p>
        </w:tc>
        <w:tc>
          <w:tcPr>
            <w:tcW w:w="1842" w:type="dxa"/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F502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Jednotkový náklad (v Kč)</w:t>
            </w:r>
          </w:p>
        </w:tc>
      </w:tr>
      <w:tr w:rsidR="00E90800" w:rsidRPr="006F5025" w:rsidTr="00935C7A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E90800" w:rsidRPr="006F5025" w:rsidTr="00935C7A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E90800" w:rsidRPr="006F5025" w:rsidRDefault="00E90800" w:rsidP="00935C7A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</w:tr>
      <w:tr w:rsidR="00E90800" w:rsidRPr="006F5025" w:rsidTr="00935C7A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pStyle w:val="slovanseznam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E90800" w:rsidRPr="006F5025" w:rsidRDefault="00E90800" w:rsidP="00935C7A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E90800" w:rsidRPr="006F5025" w:rsidRDefault="00E90800" w:rsidP="00935C7A">
            <w:pPr>
              <w:spacing w:after="0"/>
              <w:rPr>
                <w:rFonts w:eastAsia="Times New Roman" w:cstheme="minorHAnsi"/>
                <w:highlight w:val="lightGray"/>
                <w:lang w:eastAsia="cs-CZ"/>
              </w:rPr>
            </w:pPr>
          </w:p>
        </w:tc>
      </w:tr>
    </w:tbl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  <w:highlight w:val="lightGray"/>
        </w:rPr>
      </w:pP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 xml:space="preserve">Výši skutečně vzniklých výdajů souvisejících s dosažením jednotky příjemce </w:t>
      </w:r>
      <w:r>
        <w:rPr>
          <w:rFonts w:asciiTheme="minorHAnsi" w:hAnsiTheme="minorHAnsi" w:cstheme="minorHAnsi"/>
          <w:sz w:val="22"/>
          <w:szCs w:val="22"/>
          <w:highlight w:val="lightGray"/>
        </w:rPr>
        <w:t>s odvoláním na článek 53 odst. 1 písm. b) obecného nařízení</w:t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MV </w:t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>neprokazuje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  <w:highlight w:val="lightGray"/>
        </w:rPr>
        <w:footnoteReference w:id="4"/>
      </w:r>
      <w:r w:rsidRPr="00524D43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Udržitelnost projektu </w:t>
      </w:r>
    </w:p>
    <w:p w:rsidR="00E90800" w:rsidRPr="00524D43" w:rsidRDefault="00E90800" w:rsidP="00E90800">
      <w:pPr>
        <w:pStyle w:val="Zhlav"/>
        <w:spacing w:after="240"/>
        <w:rPr>
          <w:rFonts w:cstheme="minorHAnsi"/>
        </w:rPr>
      </w:pPr>
      <w:r w:rsidRPr="00B464ED">
        <w:rPr>
          <w:rFonts w:eastAsia="Arial" w:cstheme="minorHAnsi"/>
        </w:rPr>
        <w:t>Pravidlo udržitelnosti se týká nákladů, které jsou v rozpočtu projektu vykazované jako investiční.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>Pokud jsou v rámci projektu uplatněny tyto náklady, je příjemce povinen zajistit, aby zařízení/vybavení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>související s danými náklady zůstalo v jeho vlastnictví a bylo využíváno ke stejnému účelu, ke kterému</w:t>
      </w:r>
      <w:r>
        <w:rPr>
          <w:rFonts w:eastAsia="Arial" w:cstheme="minorHAnsi"/>
        </w:rPr>
        <w:t xml:space="preserve"> </w:t>
      </w:r>
      <w:r w:rsidRPr="00B464ED">
        <w:rPr>
          <w:rFonts w:eastAsia="Arial" w:cstheme="minorHAnsi"/>
        </w:rPr>
        <w:t xml:space="preserve">bylo v rámci projektu pořízeno. </w:t>
      </w:r>
      <w:r w:rsidRPr="00165911">
        <w:rPr>
          <w:rFonts w:cs="Arial"/>
          <w:szCs w:val="24"/>
        </w:rPr>
        <w:t xml:space="preserve">Příjemce je povinen zajistit </w:t>
      </w:r>
      <w:r>
        <w:rPr>
          <w:rFonts w:cs="Arial"/>
          <w:szCs w:val="24"/>
        </w:rPr>
        <w:t>udržitelnost</w:t>
      </w:r>
      <w:r w:rsidRPr="00165911">
        <w:rPr>
          <w:rFonts w:cs="Arial"/>
          <w:szCs w:val="24"/>
        </w:rPr>
        <w:t xml:space="preserve"> po dobu</w:t>
      </w:r>
      <w:r>
        <w:rPr>
          <w:rFonts w:cs="Arial"/>
          <w:szCs w:val="24"/>
        </w:rPr>
        <w:t xml:space="preserve"> </w:t>
      </w:r>
      <w:r w:rsidRPr="00165911">
        <w:rPr>
          <w:rFonts w:cs="Arial"/>
          <w:szCs w:val="24"/>
        </w:rPr>
        <w:t>stanovenou</w:t>
      </w:r>
      <w:r>
        <w:rPr>
          <w:rFonts w:cs="Arial"/>
          <w:szCs w:val="24"/>
        </w:rPr>
        <w:t xml:space="preserve"> v</w:t>
      </w:r>
      <w:r>
        <w:t xml:space="preserve"> Pravidlech</w:t>
      </w:r>
      <w:r w:rsidRPr="00165911">
        <w:t xml:space="preserve"> pro žadatele a příjemce finanční podpory </w:t>
      </w:r>
      <w:r>
        <w:t>FEUVV</w:t>
      </w:r>
      <w:r>
        <w:rPr>
          <w:rFonts w:cs="Arial"/>
          <w:szCs w:val="24"/>
        </w:rPr>
        <w:t xml:space="preserve"> – obecná část kapitola </w:t>
      </w:r>
      <w:proofErr w:type="gramStart"/>
      <w:r>
        <w:rPr>
          <w:rFonts w:cs="Arial"/>
          <w:szCs w:val="24"/>
        </w:rPr>
        <w:t>13.2.10</w:t>
      </w:r>
      <w:proofErr w:type="gramEnd"/>
      <w:r w:rsidRPr="00165911">
        <w:rPr>
          <w:rFonts w:cs="Arial"/>
          <w:szCs w:val="24"/>
        </w:rPr>
        <w:t>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Vedení účetnictví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</w:t>
      </w:r>
      <w:r>
        <w:rPr>
          <w:rFonts w:asciiTheme="minorHAnsi" w:hAnsiTheme="minorHAnsi" w:cstheme="minorHAnsi"/>
          <w:sz w:val="22"/>
          <w:szCs w:val="22"/>
        </w:rPr>
        <w:t>článku 53</w:t>
      </w:r>
      <w:r w:rsidRPr="00524D43">
        <w:rPr>
          <w:rFonts w:asciiTheme="minorHAnsi" w:hAnsiTheme="minorHAnsi" w:cstheme="minorHAnsi"/>
          <w:sz w:val="22"/>
          <w:szCs w:val="22"/>
        </w:rPr>
        <w:t xml:space="preserve"> odst.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24D43">
        <w:rPr>
          <w:rFonts w:asciiTheme="minorHAnsi" w:hAnsiTheme="minorHAnsi" w:cstheme="minorHAnsi"/>
          <w:sz w:val="22"/>
          <w:szCs w:val="22"/>
        </w:rPr>
        <w:t>písm.  b)</w:t>
      </w:r>
      <w:r>
        <w:rPr>
          <w:rFonts w:asciiTheme="minorHAnsi" w:hAnsiTheme="minorHAnsi" w:cstheme="minorHAnsi"/>
          <w:sz w:val="22"/>
          <w:szCs w:val="22"/>
        </w:rPr>
        <w:t xml:space="preserve"> a d)</w:t>
      </w:r>
      <w:r w:rsidRPr="00524D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obecného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nařízení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předat MV ve lhůtě jím stanovené na jeho vyžádání účetní záznamy a další doklady vztahující se k projektu převedené do digitální podoby.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Zakázky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Při zadávání zakázek v rámci realizace projektu je příjemce povinen postupovat v souladu s</w:t>
      </w:r>
      <w:r w:rsidRPr="00524D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24D43">
        <w:rPr>
          <w:rFonts w:asciiTheme="minorHAnsi" w:hAnsiTheme="minorHAnsi" w:cstheme="minorHAnsi"/>
          <w:sz w:val="22"/>
          <w:szCs w:val="22"/>
        </w:rPr>
        <w:t xml:space="preserve">pravidly pro zadávání zakázek, jež jsou stanovena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>ravidl</w:t>
      </w:r>
      <w:r>
        <w:rPr>
          <w:rFonts w:asciiTheme="minorHAnsi" w:hAnsiTheme="minorHAnsi" w:cstheme="minorHAnsi"/>
          <w:sz w:val="22"/>
          <w:szCs w:val="22"/>
        </w:rPr>
        <w:t>ech</w:t>
      </w:r>
      <w:r w:rsidRPr="00524D43">
        <w:rPr>
          <w:rFonts w:asciiTheme="minorHAnsi" w:hAnsiTheme="minorHAnsi" w:cstheme="minorHAnsi"/>
          <w:sz w:val="22"/>
          <w:szCs w:val="22"/>
        </w:rPr>
        <w:t xml:space="preserve"> pro žadatele a příjemce v rámci </w:t>
      </w:r>
      <w:r>
        <w:rPr>
          <w:rFonts w:asciiTheme="minorHAnsi" w:hAnsiTheme="minorHAnsi" w:cstheme="minorHAnsi"/>
          <w:sz w:val="22"/>
          <w:szCs w:val="22"/>
        </w:rPr>
        <w:t>FEUVV – obecná část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v případě, kdy v rámci realizace projektu využije byť jen z části plnění z nadlimitní zakázky ve smyslu § 25 zákona 134/2016 Sb., o zadávání veřejných zakázek, po podpisu odpovídajících smluv, poskytnout poskytovateli informaci o všech dodavatelích, včetně jména a identifikačního čísla pro účely DPH nebo daňového identifikačního čísla dodavatele (dodavatelů), o všech skutečných majitelích dodavatele ve smyslu § 4 odst. 4 zákona č. 253/2008 Sb., o některých opatřeních proti legalizaci výnosů z trestné činnosti a financování terorismu, a to v rozsahu jména (jmen) a příjmení, datum narození a identifikační číslo (čísla) pro účely DPH nebo daňové identifikační číslo (čísla) těchto skutečných majitelů, a kopii uzavřené smlouvy, ze které bude patrné datum uzavření smlouvy, název, referenční číslo a smluvní částka.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Plnění politik Evropské unie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Při realizaci projektu je příjemce povinen dodržovat politiky Evropské unie, zejména pravidla hospodářské soutěže, principy udržitelného rozvoje a prosazování rovných příležitostí.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Kontrola 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 xml:space="preserve"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(</w:t>
      </w:r>
      <w:r>
        <w:rPr>
          <w:rFonts w:cstheme="minorHAnsi"/>
        </w:rPr>
        <w:t>ř</w:t>
      </w:r>
      <w:r w:rsidRPr="00524D43">
        <w:rPr>
          <w:rFonts w:cstheme="minorHAnsi"/>
        </w:rPr>
        <w:t>ídicí orgán), orgány finanční správy, Ministerstvo financí, Nejvyšší kontrolní úřad, Evropská komise a Evropský účetní dvůr, případně další orgány oprávněné k výkonu kontroly.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Informační a komunikační opatření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provádět informační a komunikační opatření projektu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ravidly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zajistit nápravu nedostatků týkajících se provádění informačních a komunikačních opatření projektu ve lhůtě a způsobem specifikovaným ve výzvě k provedení této nápravy, kterou příjemci adresuje MV.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Poskytování údajů o realizaci projektu </w:t>
      </w:r>
    </w:p>
    <w:p w:rsidR="00E90800" w:rsidRPr="00BB72A1" w:rsidRDefault="00E90800" w:rsidP="00E90800">
      <w:pPr>
        <w:pStyle w:val="slovanseznam"/>
        <w:numPr>
          <w:ilvl w:val="1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 w:rsidRPr="00BB72A1">
        <w:rPr>
          <w:rFonts w:ascii="Calibri" w:hAnsi="Calibri" w:cs="Calibri"/>
          <w:sz w:val="22"/>
          <w:szCs w:val="22"/>
        </w:rPr>
        <w:t>Příjemce je povinen na základě žádosti MV nebo Ministerstva financí poskytnout těmto písemně jakékoliv doplňující informace související s realizací projektu (zejména má v této souvislosti povinnost poskytnout veškeré informace o výsledcích kontrol a auditů, včetně kontrolních protokolů z kontrol provedených v souvislosti s projektem), a to ve lhůtě stanovené MV, resp. Ministerstvem financí.</w:t>
      </w:r>
    </w:p>
    <w:p w:rsidR="00E90800" w:rsidRPr="00BB72A1" w:rsidRDefault="00E90800" w:rsidP="00E90800">
      <w:pPr>
        <w:pStyle w:val="slovanseznam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BB72A1">
        <w:rPr>
          <w:rFonts w:ascii="Calibri" w:hAnsi="Calibri" w:cs="Calibri"/>
          <w:sz w:val="22"/>
          <w:szCs w:val="22"/>
        </w:rPr>
        <w:t xml:space="preserve">Příjemce je povinen poskytnout na vyzvání poskytovatele údaje a informace uvedené v tomto vyzvání, jež jsou potřebné pro splnění povinnosti řídicího orgánu dle čl. 72 odst. 1 písm. e) obecného nařízení elektronicky zaznamenávat a uchovávat </w:t>
      </w:r>
      <w:r w:rsidRPr="00BB72A1">
        <w:rPr>
          <w:rFonts w:ascii="Calibri" w:hAnsi="Calibri" w:cs="Calibri"/>
          <w:sz w:val="22"/>
          <w:szCs w:val="22"/>
          <w:shd w:val="clear" w:color="auto" w:fill="FFFFFF"/>
        </w:rPr>
        <w:t xml:space="preserve">údaje o každé operaci nezbytné pro monitorování, hodnocení, finanční řízení, kontrolu a audity v souladu s přílohou XVII obecného nařízení.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lastRenderedPageBreak/>
        <w:t>Oznamovací povinnost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dodržet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upravující oznamování změn týkajících se projektu.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Zákaz čerpání jiných podpor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nesmí na výdaje projektu uhrazené z prostředků této podpory čerpat prostředky z jiných finančních nástrojů Evropské unie či z jiných veřejných prostředků. Pokud byl určitý výdaj uhrazen z podpory pouze z části, týká se zákaz podle předchozí věty pouze této části výdaje. 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Vypořádání projektu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Pokud je to relevantní, příjemce je povinen podporu finančně vypořádat v souladu s rozpočtovými pravidly a aktuálně platnou vyhláškou upravující zásady a lhůty finančního vypořádání vztahů se státním rozpočtem.</w:t>
      </w:r>
      <w:r w:rsidRPr="00524D43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Uchovávání dokumentů</w:t>
      </w:r>
    </w:p>
    <w:p w:rsidR="00E90800" w:rsidRPr="00524D43" w:rsidRDefault="00E90800" w:rsidP="00E90800">
      <w:pPr>
        <w:pStyle w:val="Zhlav"/>
        <w:tabs>
          <w:tab w:val="clear" w:pos="4536"/>
          <w:tab w:val="clear" w:pos="9072"/>
        </w:tabs>
        <w:spacing w:after="240"/>
        <w:rPr>
          <w:rFonts w:cstheme="minorHAnsi"/>
        </w:rPr>
      </w:pPr>
      <w:r w:rsidRPr="00524D43">
        <w:rPr>
          <w:rFonts w:cstheme="minorHAnsi"/>
        </w:rPr>
        <w:t>Příjemce je povinen uchovat veškeré dokumenty související s realizací projektu v souladu s platnými právními předpisy ČR, zejména v souladu s § 44a odst. 11 rozpočtových pravidel</w:t>
      </w:r>
      <w:r w:rsidRPr="00524D43">
        <w:rPr>
          <w:rStyle w:val="Znakapoznpodarou"/>
          <w:rFonts w:cstheme="minorHAnsi"/>
        </w:rPr>
        <w:footnoteReference w:id="6"/>
      </w:r>
      <w:r w:rsidRPr="00524D43">
        <w:rPr>
          <w:rFonts w:cstheme="minorHAnsi"/>
        </w:rPr>
        <w:t xml:space="preserve"> a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ravidly </w:t>
      </w:r>
      <w:r>
        <w:rPr>
          <w:rFonts w:cstheme="minorHAnsi"/>
        </w:rPr>
        <w:t>FEUVV</w:t>
      </w:r>
      <w:r w:rsidRPr="00524D43">
        <w:rPr>
          <w:rFonts w:cstheme="minorHAnsi"/>
        </w:rPr>
        <w:t>.</w:t>
      </w: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Péče o majetek 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iCs/>
          <w:sz w:val="22"/>
          <w:szCs w:val="22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:rsidR="00E90800" w:rsidRPr="00524D43" w:rsidRDefault="00E90800" w:rsidP="00E90800">
      <w:pPr>
        <w:pStyle w:val="slovanseznam"/>
        <w:numPr>
          <w:ilvl w:val="0"/>
          <w:numId w:val="6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Partnerství</w:t>
      </w:r>
      <w:r w:rsidRPr="00524D43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7"/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zajistit, aby vztahy mezi příjemcem a jeho partnery, jejichž seznam je součástí přílo</w:t>
      </w:r>
      <w:r>
        <w:rPr>
          <w:rFonts w:asciiTheme="minorHAnsi" w:hAnsiTheme="minorHAnsi" w:cstheme="minorHAnsi"/>
          <w:sz w:val="22"/>
          <w:szCs w:val="22"/>
        </w:rPr>
        <w:t>hy</w:t>
      </w:r>
      <w:r w:rsidRPr="00524D43">
        <w:rPr>
          <w:rFonts w:asciiTheme="minorHAnsi" w:hAnsiTheme="minorHAnsi" w:cstheme="minorHAnsi"/>
          <w:sz w:val="22"/>
          <w:szCs w:val="22"/>
        </w:rPr>
        <w:t xml:space="preserve"> č. 1 těchto Podmínek, po celou dobu realizace projektu odpovídaly podmínkám partnerství uvedeným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ravidlech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 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:rsidR="00E90800" w:rsidRPr="00524D43" w:rsidRDefault="00E90800" w:rsidP="00E90800">
      <w:pPr>
        <w:pStyle w:val="slovanseznam"/>
        <w:numPr>
          <w:ilvl w:val="1"/>
          <w:numId w:val="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lastRenderedPageBreak/>
        <w:t xml:space="preserve">Část III – Specifické povinnosti příjemce týkající se realizace projektu </w:t>
      </w:r>
    </w:p>
    <w:p w:rsidR="00E90800" w:rsidRPr="00524D43" w:rsidRDefault="00E90800" w:rsidP="00E90800">
      <w:pPr>
        <w:pStyle w:val="slovanseznam"/>
        <w:numPr>
          <w:ilvl w:val="0"/>
          <w:numId w:val="7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Vazba na výzvu k předkládání žádostí o podporu</w:t>
      </w:r>
    </w:p>
    <w:p w:rsidR="00E90800" w:rsidRPr="00524D43" w:rsidRDefault="00E90800" w:rsidP="00E9080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:rsidR="00E90800" w:rsidRPr="00524D43" w:rsidRDefault="00E90800" w:rsidP="00E90800">
      <w:pPr>
        <w:pStyle w:val="slovanseznam"/>
        <w:numPr>
          <w:ilvl w:val="0"/>
          <w:numId w:val="8"/>
        </w:numPr>
        <w:spacing w:after="6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Cílovými skupinami projektu mohou být pouze: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E90800" w:rsidRPr="00524D43" w:rsidRDefault="00E90800" w:rsidP="00E90800">
      <w:pPr>
        <w:pStyle w:val="slovanseznam"/>
        <w:numPr>
          <w:ilvl w:val="0"/>
          <w:numId w:val="8"/>
        </w:numPr>
        <w:spacing w:after="6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Aktivity projektu musí spadat do vymezení: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……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8"/>
      </w:r>
    </w:p>
    <w:p w:rsidR="00E90800" w:rsidRPr="00E77F94" w:rsidRDefault="00E90800" w:rsidP="00E90800">
      <w:pPr>
        <w:pStyle w:val="slovanseznam"/>
        <w:numPr>
          <w:ilvl w:val="0"/>
          <w:numId w:val="7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77F94">
        <w:rPr>
          <w:rFonts w:asciiTheme="minorHAnsi" w:hAnsiTheme="minorHAnsi" w:cstheme="minorHAnsi"/>
          <w:b/>
          <w:bCs/>
          <w:sz w:val="22"/>
          <w:szCs w:val="22"/>
        </w:rPr>
        <w:t xml:space="preserve">Podmínky monitorování projektu </w:t>
      </w:r>
    </w:p>
    <w:p w:rsidR="00E90800" w:rsidRPr="00524D43" w:rsidRDefault="00E90800" w:rsidP="00E90800">
      <w:pPr>
        <w:pStyle w:val="slovanseznam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naplnit celkové cílové hodnoty indikátorů uvedených v </w:t>
      </w:r>
      <w:r>
        <w:rPr>
          <w:rFonts w:asciiTheme="minorHAnsi" w:hAnsiTheme="minorHAnsi" w:cstheme="minorHAnsi"/>
          <w:sz w:val="22"/>
          <w:szCs w:val="22"/>
        </w:rPr>
        <w:t>projektu v příloze č. </w:t>
      </w:r>
      <w:r w:rsidRPr="00524D43">
        <w:rPr>
          <w:rFonts w:asciiTheme="minorHAnsi" w:hAnsiTheme="minorHAnsi" w:cstheme="minorHAnsi"/>
          <w:sz w:val="22"/>
          <w:szCs w:val="22"/>
        </w:rPr>
        <w:t xml:space="preserve">1 těchto Podmínek; definice indikátorů je obsažena </w:t>
      </w:r>
      <w:r>
        <w:rPr>
          <w:rFonts w:asciiTheme="minorHAnsi" w:hAnsiTheme="minorHAnsi" w:cstheme="minorHAnsi"/>
          <w:sz w:val="22"/>
          <w:szCs w:val="22"/>
        </w:rPr>
        <w:t xml:space="preserve">v dokumentu „Indikátory pro </w:t>
      </w:r>
      <w:r w:rsidRPr="00E8592E">
        <w:rPr>
          <w:rFonts w:asciiTheme="minorHAnsi" w:hAnsiTheme="minorHAnsi" w:cstheme="minorHAnsi"/>
          <w:sz w:val="22"/>
          <w:szCs w:val="22"/>
          <w:shd w:val="clear" w:color="auto" w:fill="D0CECE" w:themeFill="background2" w:themeFillShade="E6"/>
        </w:rPr>
        <w:t>OP AMIF</w:t>
      </w:r>
      <w:r>
        <w:rPr>
          <w:rFonts w:asciiTheme="minorHAnsi" w:hAnsiTheme="minorHAnsi" w:cstheme="minorHAnsi"/>
          <w:sz w:val="22"/>
          <w:szCs w:val="22"/>
        </w:rPr>
        <w:t xml:space="preserve"> na období 2021-2027“, který je zveřejněn na </w:t>
      </w:r>
      <w:hyperlink r:id="rId8" w:history="1">
        <w:r w:rsidRPr="00A52299">
          <w:rPr>
            <w:rStyle w:val="Hypertextovodkaz"/>
            <w:rFonts w:asciiTheme="minorHAnsi" w:hAnsiTheme="minorHAnsi" w:cstheme="minorHAnsi"/>
            <w:sz w:val="22"/>
            <w:szCs w:val="22"/>
          </w:rPr>
          <w:t>www.mvcr.cz/fondyeu</w:t>
        </w:r>
      </w:hyperlink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before="120" w:after="120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Celkovou cílovou hodnotu indikátorů příjemce naplní, pokud celková míra naplnění indikátorů dosáhne 100 %.</w:t>
      </w:r>
    </w:p>
    <w:p w:rsidR="00E90800" w:rsidRPr="00524D43" w:rsidRDefault="00E90800" w:rsidP="00E90800">
      <w:pPr>
        <w:spacing w:after="60"/>
        <w:ind w:left="567"/>
        <w:rPr>
          <w:rFonts w:cstheme="minorHAnsi"/>
        </w:rPr>
      </w:pPr>
      <w:r w:rsidRPr="00524D43">
        <w:rPr>
          <w:rFonts w:cstheme="minorHAnsi"/>
        </w:rPr>
        <w:t>Pro zjištění celkové míry naplnění indikátorů se sečtou procenta naplnění cílových hodnot uvedených v příloze č. 1 těchto Podmínek u jednotlivých indikátorů a vydělí se počtem těchto indikátorů. Pokud nebyla vyčerpána celková maximální výše podpory, snižují se cílové hodnoty v příloze č. 1 těchto Podmínek tak, že se vynásobí podílem skutečně vyčerpané částky podpory k celkové maximální výši podpory. Překročení cílové hodnot</w:t>
      </w:r>
      <w:r>
        <w:rPr>
          <w:rFonts w:cstheme="minorHAnsi"/>
        </w:rPr>
        <w:t xml:space="preserve">y jednotlivých indikátorů </w:t>
      </w:r>
      <w:r w:rsidRPr="00524D43">
        <w:rPr>
          <w:rFonts w:cstheme="minorHAnsi"/>
        </w:rPr>
        <w:t>bude zoh</w:t>
      </w:r>
      <w:r>
        <w:rPr>
          <w:rFonts w:cstheme="minorHAnsi"/>
        </w:rPr>
        <w:t>ledněno maximálně v míře 120 %.</w:t>
      </w:r>
    </w:p>
    <w:p w:rsidR="00E90800" w:rsidRPr="00524D43" w:rsidRDefault="00E90800" w:rsidP="00E90800">
      <w:pPr>
        <w:pStyle w:val="slovanseznam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Příjemce je povinen předávat MV údaje nezbytné k průběžnému sledování přínosů projektu (monitorování projektu) a to prostřednictvím zpráv o realizaci projektu a aktualizace údajů v IS KP21+ o zakázkách a kontrolách/auditech týkajících se projektu (s výjimkou kontrol provedených MV). Průběžnou zprávu o realizaci projektu je příjemce povinen předložit do konce prvního měsíce následujícího po ukončení sledovaného období, závěrečnou zprávu o realizaci projektu do konce druhého měsíce následujícího po ukončení sledovaného o</w:t>
      </w:r>
      <w:r>
        <w:rPr>
          <w:rFonts w:asciiTheme="minorHAnsi" w:hAnsiTheme="minorHAnsi" w:cstheme="minorHAnsi"/>
          <w:sz w:val="22"/>
          <w:szCs w:val="22"/>
        </w:rPr>
        <w:t>bdobí. V případě, že sledované</w:t>
      </w:r>
      <w:r w:rsidRPr="00524D43">
        <w:rPr>
          <w:rFonts w:asciiTheme="minorHAnsi" w:hAnsiTheme="minorHAnsi" w:cstheme="minorHAnsi"/>
          <w:sz w:val="22"/>
          <w:szCs w:val="22"/>
        </w:rPr>
        <w:t xml:space="preserve"> období skončí v jiný než poslední den kalendářního měsíce, pak platí lhůta 30 dní, resp. 60 dní v případě závěrečné zprávy o realizaci projektu ode dne ukončení daného sledovaného období.</w:t>
      </w:r>
      <w:r w:rsidRPr="00524D43">
        <w:rPr>
          <w:rStyle w:val="Znakapoznpodarou"/>
          <w:rFonts w:asciiTheme="minorHAnsi" w:eastAsiaTheme="majorEastAsia" w:hAnsiTheme="minorHAnsi" w:cstheme="minorHAnsi"/>
          <w:sz w:val="22"/>
          <w:szCs w:val="22"/>
        </w:rPr>
        <w:footnoteReference w:id="9"/>
      </w:r>
      <w:r w:rsidRPr="00524D43">
        <w:rPr>
          <w:rFonts w:asciiTheme="minorHAnsi" w:hAnsiTheme="minorHAnsi" w:cstheme="minorHAnsi"/>
          <w:sz w:val="22"/>
          <w:szCs w:val="22"/>
        </w:rPr>
        <w:t xml:space="preserve"> Aktualizaci údajů v IS KP21+ o zakázkách a kontrolách/auditech týkajících se projektu příjemce provádí minimálně k termínům pro předložení zpráv o realizaci projektu.</w:t>
      </w:r>
    </w:p>
    <w:p w:rsidR="00E90800" w:rsidRPr="00524D43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Vymezení sledovaného období projektu, za které je příjemce povinen předložit zprávu o realizaci projektu:</w:t>
      </w:r>
    </w:p>
    <w:p w:rsidR="00E90800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E90800" w:rsidRPr="005A23B1" w:rsidRDefault="00E90800" w:rsidP="00E90800">
      <w:pPr>
        <w:pStyle w:val="slovanseznam"/>
        <w:spacing w:before="120" w:after="120"/>
        <w:ind w:left="567"/>
        <w:rPr>
          <w:rFonts w:asciiTheme="minorHAnsi" w:hAnsiTheme="minorHAnsi" w:cstheme="minorHAnsi"/>
          <w:sz w:val="22"/>
          <w:szCs w:val="22"/>
        </w:rPr>
      </w:pPr>
      <w:r w:rsidRPr="005A23B1">
        <w:rPr>
          <w:rFonts w:asciiTheme="minorHAnsi" w:hAnsiTheme="minorHAnsi" w:cstheme="minorHAnsi"/>
          <w:sz w:val="22"/>
          <w:szCs w:val="22"/>
        </w:rPr>
        <w:t>V případě, že 10 dní před termínem, který je stanoven pro předložení zprávy</w:t>
      </w:r>
      <w:r>
        <w:rPr>
          <w:rFonts w:asciiTheme="minorHAnsi" w:hAnsiTheme="minorHAnsi" w:cstheme="minorHAnsi"/>
          <w:sz w:val="22"/>
          <w:szCs w:val="22"/>
        </w:rPr>
        <w:t xml:space="preserve"> o realizaci projektu</w:t>
      </w:r>
      <w:r w:rsidRPr="005A23B1">
        <w:rPr>
          <w:rFonts w:asciiTheme="minorHAnsi" w:hAnsiTheme="minorHAnsi" w:cstheme="minorHAnsi"/>
          <w:sz w:val="22"/>
          <w:szCs w:val="22"/>
        </w:rPr>
        <w:t>, není dokončena kontrola všech dříve předložených zpráv o realizaci projektu včetně žádosti o platbu, nelze následující zprávu a žádost o platbu p</w:t>
      </w:r>
      <w:r>
        <w:rPr>
          <w:rFonts w:asciiTheme="minorHAnsi" w:hAnsiTheme="minorHAnsi" w:cstheme="minorHAnsi"/>
          <w:sz w:val="22"/>
          <w:szCs w:val="22"/>
        </w:rPr>
        <w:t>ředložit v termínu stanoveném tě</w:t>
      </w:r>
      <w:r w:rsidRPr="005A23B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A23B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Podmínkami</w:t>
      </w:r>
      <w:r w:rsidRPr="005A23B1">
        <w:rPr>
          <w:rFonts w:asciiTheme="minorHAnsi" w:hAnsiTheme="minorHAnsi" w:cstheme="minorHAnsi"/>
          <w:sz w:val="22"/>
          <w:szCs w:val="22"/>
        </w:rPr>
        <w:t>. Pokud tato překážka v realizaci projektu nastane, termín předložení následující zprávy o realizaci projektu včetně žádosti o platbu je stanoven do 10 pracovních dní od schválení nebo neschválení dříve předložené zprávy o realizaci projektu včetně žádosti o platbu.</w:t>
      </w:r>
    </w:p>
    <w:p w:rsidR="00E90800" w:rsidRPr="00524D43" w:rsidRDefault="00E90800" w:rsidP="00E90800">
      <w:pPr>
        <w:pStyle w:val="slovanseznam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zprávy o realizaci projektu ve formátu, který MV pro projekt nastaví v informačním systému MS2021+. </w:t>
      </w:r>
    </w:p>
    <w:p w:rsidR="00E90800" w:rsidRPr="00524D43" w:rsidRDefault="00E90800" w:rsidP="00E90800">
      <w:pPr>
        <w:pStyle w:val="slovanseznam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>Nápravy nedostatků žádostí o změnu projektu, zpráv o realizaci projektu (včetně spolu s nimi předložených žádostí o platbu) a případně další související dokumentace vyžádané MV je příjemce povinen předkládat v termínech stanovených MV.</w:t>
      </w:r>
    </w:p>
    <w:p w:rsidR="00E90800" w:rsidRDefault="00E90800" w:rsidP="00E90800">
      <w:pPr>
        <w:pStyle w:val="slovanseznam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Veřejná podpora a podpora de </w:t>
      </w:r>
      <w:proofErr w:type="spellStart"/>
      <w:r w:rsidRPr="00524D43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</w:p>
    <w:p w:rsidR="00E90800" w:rsidRPr="00E77F94" w:rsidRDefault="00E90800" w:rsidP="00E90800">
      <w:pPr>
        <w:pStyle w:val="Odstavecseseznamem"/>
        <w:spacing w:before="120" w:after="240"/>
        <w:ind w:left="357"/>
        <w:contextualSpacing w:val="0"/>
        <w:rPr>
          <w:rFonts w:eastAsia="Times New Roman" w:cstheme="minorHAnsi"/>
          <w:b/>
          <w:bCs/>
          <w:lang w:eastAsia="cs-CZ"/>
        </w:rPr>
      </w:pPr>
      <w:r w:rsidRPr="00165911">
        <w:t>Podpora poskytnutá na realizaci projektu nezakládá veřejnou podporu.</w:t>
      </w: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 xml:space="preserve">Část IV – Platební podmínky </w:t>
      </w:r>
    </w:p>
    <w:p w:rsidR="00E90800" w:rsidRPr="00524D43" w:rsidRDefault="00E90800" w:rsidP="00E90800">
      <w:pPr>
        <w:pStyle w:val="slovanseznam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 xml:space="preserve">Žádost o platbu </w:t>
      </w:r>
    </w:p>
    <w:p w:rsidR="00E90800" w:rsidRPr="00524D43" w:rsidRDefault="00E90800" w:rsidP="00E90800">
      <w:pPr>
        <w:pStyle w:val="slovanseznam"/>
        <w:numPr>
          <w:ilvl w:val="1"/>
          <w:numId w:val="9"/>
        </w:numPr>
        <w:spacing w:before="12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MV spolu s každou zprávou o realizaci projektu řádně vyplněnou žádost o platbu podloženou příslušnými doklady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90800" w:rsidRPr="00524D43" w:rsidRDefault="00E90800" w:rsidP="00E90800">
      <w:pPr>
        <w:pStyle w:val="slovanseznam"/>
        <w:numPr>
          <w:ilvl w:val="1"/>
          <w:numId w:val="9"/>
        </w:numPr>
        <w:spacing w:before="12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Příjemce je povinen předkládat žádosti o platbu ve formátu, který MV pro projekt nastaví v informačním systému MS2021+. </w:t>
      </w:r>
    </w:p>
    <w:p w:rsidR="00E90800" w:rsidRPr="008C1AF7" w:rsidRDefault="00E90800" w:rsidP="00E90800">
      <w:pPr>
        <w:pStyle w:val="slovanseznam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C1AF7">
        <w:rPr>
          <w:rFonts w:asciiTheme="minorHAnsi" w:hAnsiTheme="minorHAnsi" w:cstheme="minorHAnsi"/>
          <w:b/>
          <w:bCs/>
          <w:sz w:val="22"/>
          <w:szCs w:val="22"/>
        </w:rPr>
        <w:t>Nepřímé náklady/Paušální sazba</w:t>
      </w:r>
    </w:p>
    <w:p w:rsidR="00E90800" w:rsidRPr="008C1AF7" w:rsidRDefault="00E90800" w:rsidP="00E9080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1AF7">
        <w:rPr>
          <w:rFonts w:asciiTheme="minorHAnsi" w:hAnsiTheme="minorHAnsi" w:cstheme="minorHAnsi"/>
          <w:sz w:val="22"/>
          <w:szCs w:val="22"/>
        </w:rPr>
        <w:t xml:space="preserve">Nepřímé náklady projektu jsou považovány za uskutečněné ve výši, která je výsledkem násobku procenta nepřímých nákladů a </w:t>
      </w:r>
      <w:r>
        <w:rPr>
          <w:rFonts w:asciiTheme="minorHAnsi" w:hAnsiTheme="minorHAnsi" w:cstheme="minorHAnsi"/>
          <w:sz w:val="22"/>
          <w:szCs w:val="22"/>
        </w:rPr>
        <w:t>přímých způsobilých nákladů projektu (včetně nákladů zjednodušených metod vykazování)</w:t>
      </w:r>
      <w:r w:rsidRPr="008C1AF7">
        <w:rPr>
          <w:rFonts w:asciiTheme="minorHAnsi" w:hAnsiTheme="minorHAnsi" w:cstheme="minorHAnsi"/>
          <w:sz w:val="22"/>
          <w:szCs w:val="22"/>
        </w:rPr>
        <w:t>.</w:t>
      </w:r>
    </w:p>
    <w:p w:rsidR="00E90800" w:rsidRDefault="00E90800" w:rsidP="00E90800">
      <w:pPr>
        <w:pStyle w:val="slovanseznam"/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1AF7">
        <w:rPr>
          <w:rFonts w:asciiTheme="minorHAnsi" w:hAnsiTheme="minorHAnsi" w:cstheme="minorHAnsi"/>
          <w:sz w:val="22"/>
          <w:szCs w:val="22"/>
        </w:rPr>
        <w:t>Procento nepřímých nákladů platné pro projekt: […] %</w:t>
      </w:r>
    </w:p>
    <w:p w:rsidR="00E90800" w:rsidRPr="008C1AF7" w:rsidRDefault="00E90800" w:rsidP="00E90800">
      <w:pPr>
        <w:spacing w:before="120" w:after="120"/>
        <w:rPr>
          <w:rFonts w:cstheme="minorHAnsi"/>
        </w:rPr>
      </w:pPr>
      <w:r w:rsidRPr="008C1AF7">
        <w:rPr>
          <w:rFonts w:cstheme="minorHAnsi"/>
        </w:rPr>
        <w:t>/</w:t>
      </w:r>
    </w:p>
    <w:p w:rsidR="00E90800" w:rsidRDefault="00E90800" w:rsidP="00E90800">
      <w:pPr>
        <w:spacing w:before="120" w:after="120"/>
        <w:rPr>
          <w:rFonts w:cstheme="minorHAnsi"/>
        </w:rPr>
      </w:pPr>
      <w:r w:rsidRPr="008C1AF7">
        <w:rPr>
          <w:rFonts w:cstheme="minorHAnsi"/>
        </w:rPr>
        <w:t>Výdaje kryté paušální sazbou jsou považovány za uskutečněné ve výši, která je výsledkem násobku 40 % a částky odpovídající prokázaným způsobilým přímým osobním nákladům projektu.</w:t>
      </w:r>
    </w:p>
    <w:p w:rsidR="00E90800" w:rsidRPr="0093757E" w:rsidRDefault="00E90800" w:rsidP="00E90800">
      <w:pPr>
        <w:pStyle w:val="slovanseznam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3757E">
        <w:rPr>
          <w:rFonts w:asciiTheme="minorHAnsi" w:hAnsiTheme="minorHAnsi" w:cstheme="minorHAnsi"/>
          <w:b/>
          <w:bCs/>
          <w:sz w:val="22"/>
          <w:szCs w:val="22"/>
        </w:rPr>
        <w:t>Finanční toky</w:t>
      </w:r>
    </w:p>
    <w:p w:rsidR="00E90800" w:rsidRDefault="00E90800" w:rsidP="00E9080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57E">
        <w:rPr>
          <w:rFonts w:asciiTheme="minorHAnsi" w:hAnsiTheme="minorHAnsi" w:cstheme="minorHAnsi"/>
          <w:sz w:val="22"/>
          <w:szCs w:val="22"/>
        </w:rPr>
        <w:t xml:space="preserve">Příjemce je povinen zabezpečit prostředky na realizaci projektu odpovídající podílu EU a podílu státního rozpočtu ve své rozpočtové kapitole, a to buď dle § 24 odst. 4 zákona č. 218/2000 Sb., o rozpočtových pravidlech, nebo </w:t>
      </w:r>
      <w:proofErr w:type="spellStart"/>
      <w:r w:rsidRPr="0093757E">
        <w:rPr>
          <w:rFonts w:asciiTheme="minorHAnsi" w:hAnsiTheme="minorHAnsi" w:cstheme="minorHAnsi"/>
          <w:sz w:val="22"/>
          <w:szCs w:val="22"/>
        </w:rPr>
        <w:t>narozpočtováním</w:t>
      </w:r>
      <w:proofErr w:type="spellEnd"/>
      <w:r w:rsidRPr="0093757E">
        <w:rPr>
          <w:rFonts w:asciiTheme="minorHAnsi" w:hAnsiTheme="minorHAnsi" w:cstheme="minorHAnsi"/>
          <w:sz w:val="22"/>
          <w:szCs w:val="22"/>
        </w:rPr>
        <w:t xml:space="preserve"> prostředků při přípravě návrhu státního rozpočtu.</w:t>
      </w: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V – Finanční opravy</w:t>
      </w:r>
    </w:p>
    <w:p w:rsidR="00E90800" w:rsidRPr="00524D43" w:rsidRDefault="00E90800" w:rsidP="00E90800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Pozastavení financování</w:t>
      </w:r>
    </w:p>
    <w:p w:rsidR="00E90800" w:rsidRPr="00524D43" w:rsidRDefault="00E90800" w:rsidP="00E90800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</w:t>
      </w:r>
      <w:r w:rsidRPr="00AF1234">
        <w:rPr>
          <w:rFonts w:ascii="Calibri" w:hAnsi="Calibri" w:cs="Calibri"/>
          <w:sz w:val="22"/>
          <w:szCs w:val="22"/>
          <w:highlight w:val="lightGray"/>
        </w:rPr>
        <w:t>Operačního programu</w:t>
      </w:r>
      <w:r w:rsidRPr="00666054">
        <w:rPr>
          <w:rFonts w:cstheme="minorHAnsi"/>
          <w:shd w:val="clear" w:color="auto" w:fill="D9D9D9" w:themeFill="background1" w:themeFillShade="D9"/>
        </w:rPr>
        <w:t xml:space="preserve"> </w:t>
      </w:r>
      <w:r w:rsidRPr="00666054">
        <w:rPr>
          <w:rFonts w:ascii="Calibri" w:hAnsi="Calibri" w:cs="Calibri"/>
          <w:sz w:val="22"/>
          <w:szCs w:val="22"/>
          <w:highlight w:val="lightGray"/>
        </w:rPr>
        <w:t>Azylového, migračního a integračního fondu / Fondu pro vnitřní bezpečnost</w:t>
      </w:r>
      <w:r w:rsidRPr="00524D43">
        <w:rPr>
          <w:rFonts w:asciiTheme="minorHAnsi" w:hAnsiTheme="minorHAnsi" w:cstheme="minorHAnsi"/>
          <w:sz w:val="22"/>
          <w:szCs w:val="22"/>
        </w:rPr>
        <w:t xml:space="preserve"> a zahájit potřebné kroky vedoucí k identifikaci, zda nevzniklo podezření na porušení rozpočtové kázně podle rozpočtových pravidel.</w:t>
      </w:r>
    </w:p>
    <w:p w:rsidR="00E90800" w:rsidRPr="00524D43" w:rsidRDefault="00E90800" w:rsidP="00E90800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90800" w:rsidRPr="00524D43" w:rsidRDefault="00E90800" w:rsidP="00E90800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4D43">
        <w:rPr>
          <w:rFonts w:asciiTheme="minorHAnsi" w:hAnsiTheme="minorHAnsi" w:cstheme="minorHAnsi"/>
          <w:b/>
          <w:bCs/>
          <w:sz w:val="22"/>
          <w:szCs w:val="22"/>
        </w:rPr>
        <w:t>Diferenciace odvodu za porušení rozpočtové kázně dle závažnosti porušení podmínek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 případě porušení podmínek týkajících se účelu (uvedených v části II bodě 2.1) bude vyměřen odvod za porušení rozpočtové kázně podle § 44a odst. 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24D43">
        <w:rPr>
          <w:rFonts w:asciiTheme="minorHAnsi" w:hAnsiTheme="minorHAnsi" w:cstheme="minorHAnsi"/>
          <w:sz w:val="22"/>
          <w:szCs w:val="22"/>
        </w:rPr>
        <w:t xml:space="preserve"> 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24D43">
        <w:rPr>
          <w:rFonts w:asciiTheme="minorHAnsi" w:hAnsiTheme="minorHAnsi" w:cstheme="minorHAnsi"/>
          <w:sz w:val="22"/>
          <w:szCs w:val="22"/>
        </w:rPr>
        <w:t>) rozpočtových pravidel</w:t>
      </w:r>
      <w:r>
        <w:rPr>
          <w:rFonts w:asciiTheme="minorHAnsi" w:hAnsiTheme="minorHAnsi" w:cstheme="minorHAnsi"/>
          <w:sz w:val="22"/>
          <w:szCs w:val="22"/>
        </w:rPr>
        <w:t xml:space="preserve"> ve výši poskytnuté podpory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Odvod za porušení rozpočtové kázně přitom nemůže být vyšší než celková dosud vynaložená podpora.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V případě porušení podmíne</w:t>
      </w:r>
      <w:r>
        <w:rPr>
          <w:rFonts w:asciiTheme="minorHAnsi" w:hAnsiTheme="minorHAnsi" w:cstheme="minorHAnsi"/>
          <w:sz w:val="22"/>
          <w:szCs w:val="22"/>
        </w:rPr>
        <w:t>k neuvedených v části V bodech 2.1, 2.3 až 2.8, anebo 3</w:t>
      </w:r>
      <w:r w:rsidRPr="00524D43">
        <w:rPr>
          <w:rFonts w:asciiTheme="minorHAnsi" w:hAnsiTheme="minorHAnsi" w:cstheme="minorHAnsi"/>
          <w:sz w:val="22"/>
          <w:szCs w:val="22"/>
        </w:rPr>
        <w:t xml:space="preserve">, bude vyměřen odvod podle § 44a odst. 4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24D43">
        <w:rPr>
          <w:rFonts w:asciiTheme="minorHAnsi" w:hAnsiTheme="minorHAnsi" w:cstheme="minorHAnsi"/>
          <w:sz w:val="22"/>
          <w:szCs w:val="22"/>
        </w:rPr>
        <w:t xml:space="preserve">) rozpočtových pravidel ve výši </w:t>
      </w:r>
      <w:r>
        <w:rPr>
          <w:rFonts w:asciiTheme="minorHAnsi" w:hAnsiTheme="minorHAnsi" w:cstheme="minorHAnsi"/>
          <w:sz w:val="22"/>
          <w:szCs w:val="22"/>
        </w:rPr>
        <w:t>částky, v jaké byla porušena rozpočtová kázeň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90800" w:rsidRPr="00524D43" w:rsidRDefault="00E90800" w:rsidP="00E90800">
      <w:pPr>
        <w:spacing w:after="60"/>
        <w:ind w:left="567"/>
        <w:rPr>
          <w:rFonts w:cstheme="minorHAnsi"/>
        </w:rPr>
      </w:pPr>
      <w:r w:rsidRPr="00524D43">
        <w:rPr>
          <w:rFonts w:cstheme="minorHAnsi"/>
        </w:rPr>
        <w:t>Porušení povinnost</w:t>
      </w:r>
      <w:r>
        <w:rPr>
          <w:rFonts w:cstheme="minorHAnsi"/>
        </w:rPr>
        <w:t>í neuvedených v části V bodech 2.1, 2.3 až 2.8, anebo 3</w:t>
      </w:r>
      <w:r w:rsidRPr="00524D43">
        <w:rPr>
          <w:rFonts w:cstheme="minorHAnsi"/>
        </w:rPr>
        <w:t xml:space="preserve">, u nichž není možné vyčíslit částku, v jaké byla porušena rozpočtová kázeň, povede podle § 44a odst. 4 písm. </w:t>
      </w:r>
      <w:r>
        <w:rPr>
          <w:rFonts w:cstheme="minorHAnsi"/>
        </w:rPr>
        <w:t>c</w:t>
      </w:r>
      <w:r w:rsidRPr="00524D43">
        <w:rPr>
          <w:rFonts w:cstheme="minorHAnsi"/>
        </w:rPr>
        <w:t xml:space="preserve">) </w:t>
      </w:r>
      <w:r w:rsidRPr="00524D43">
        <w:rPr>
          <w:rFonts w:cstheme="minorHAnsi"/>
        </w:rPr>
        <w:lastRenderedPageBreak/>
        <w:t xml:space="preserve">rozpočtových pravidel k odvodu za porušení rozpočtové kázně ve výši </w:t>
      </w:r>
      <w:r>
        <w:rPr>
          <w:rFonts w:cstheme="minorHAnsi"/>
        </w:rPr>
        <w:t xml:space="preserve">poskytnuté </w:t>
      </w:r>
      <w:r w:rsidRPr="00524D43">
        <w:rPr>
          <w:rFonts w:cstheme="minorHAnsi"/>
        </w:rPr>
        <w:t>podpory z </w:t>
      </w:r>
      <w:r w:rsidRPr="00666054">
        <w:rPr>
          <w:rFonts w:ascii="Calibri" w:hAnsi="Calibri" w:cs="Calibri"/>
          <w:highlight w:val="lightGray"/>
        </w:rPr>
        <w:t>Azylového, migračního a integračního fond</w:t>
      </w:r>
      <w:r>
        <w:rPr>
          <w:rFonts w:ascii="Calibri" w:hAnsi="Calibri" w:cs="Calibri"/>
          <w:highlight w:val="lightGray"/>
        </w:rPr>
        <w:t>u</w:t>
      </w:r>
      <w:r w:rsidRPr="00524D43">
        <w:rPr>
          <w:rFonts w:cstheme="minorHAnsi"/>
        </w:rPr>
        <w:t>.</w:t>
      </w:r>
      <w:r>
        <w:rPr>
          <w:rFonts w:cstheme="minorHAnsi"/>
        </w:rPr>
        <w:t xml:space="preserve"> Odvod za porušení rozpočtové kázně přitom nemůže být vyšší než celková dosud vynaložená podpora.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předložit MV zprávu o realizaci projektu (včetně žádosti o platbu), předložit MV vyžádanou informaci (uvedených v části II bodě 5.2 a bodě 10, v části III v bodech 2.2 až 2.4) a prodlení bude trvat 7 kalendářních dní a více, přičemž určující pro počátek běhu prodlení je termín vyplývající z těchto Podmínek (včetně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>, na které tyto Podmínky odkazují) ve znění případného vyjádření MV o změně termínu, které je příjemci k dispozici v MS2021+ (netýká se situací, kdy příjemce nemohl z důvodu technických překážek na straně MS2021+ zprávu o realizaci projektu nebo žádost o platbu předložit; viz vymezení případů, které nezakládají porušení r</w:t>
      </w:r>
      <w:r>
        <w:rPr>
          <w:rFonts w:cstheme="minorHAnsi"/>
        </w:rPr>
        <w:t>ozpočtové kázně v části V bodu 3</w:t>
      </w:r>
      <w:r w:rsidRPr="00524D43">
        <w:rPr>
          <w:rFonts w:cstheme="minorHAnsi"/>
        </w:rPr>
        <w:t xml:space="preserve"> těchto Podmínek);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povinnosti předložit MV informace o plánovaných aktivitách projektu vyžádané podle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(netýká se situací, kdy příjemce nemohl z důvodu technických překážek na straně </w:t>
      </w:r>
      <w:r>
        <w:rPr>
          <w:rFonts w:cstheme="minorHAnsi"/>
        </w:rPr>
        <w:t>MS2021+</w:t>
      </w:r>
      <w:r w:rsidRPr="00524D43">
        <w:rPr>
          <w:rFonts w:cstheme="minorHAnsi"/>
        </w:rPr>
        <w:t xml:space="preserve"> informace o plánovaných aktivitách projektu předložit; viz vymezení případů, které nezakládají porušení rozpočtové kázně v části V bodu </w:t>
      </w:r>
      <w:r>
        <w:rPr>
          <w:rFonts w:cstheme="minorHAnsi"/>
        </w:rPr>
        <w:t>3</w:t>
      </w:r>
      <w:r w:rsidRPr="00524D43">
        <w:rPr>
          <w:rFonts w:cstheme="minorHAnsi"/>
        </w:rPr>
        <w:t xml:space="preserve"> těchto Podmínek);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 porušení povinností uvedených v části II bodě 6.3;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vytvoření podmínek pro provedení kontroly (uvedených v části II bodě 8);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2" w:hanging="425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oznamovací povinnosti (uvedených v části II bodě 11) a v 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stanoveno, že příslušné pochybení nezakládá porušení rozpočtové kázně; 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2" w:hanging="425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uchovávat dokumenty (uvedené v části II bodě 14) a není možné stanovit výši podpory, ke které se dokument váže;</w:t>
      </w:r>
    </w:p>
    <w:p w:rsidR="00E90800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týkajících se partnerství</w:t>
      </w:r>
      <w:r>
        <w:rPr>
          <w:rFonts w:cstheme="minorHAnsi"/>
        </w:rPr>
        <w:t xml:space="preserve"> (uvedených v části II bodech 16.1 až 16</w:t>
      </w:r>
      <w:r w:rsidRPr="00524D43">
        <w:rPr>
          <w:rFonts w:cstheme="minorHAnsi"/>
        </w:rPr>
        <w:t>.3);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993"/>
        </w:tabs>
        <w:spacing w:before="120" w:after="120"/>
        <w:ind w:left="993" w:hanging="426"/>
        <w:contextualSpacing w:val="0"/>
        <w:rPr>
          <w:rFonts w:cstheme="minorHAnsi"/>
        </w:rPr>
      </w:pPr>
      <w:r w:rsidRPr="003D67C9">
        <w:rPr>
          <w:rFonts w:cstheme="minorHAnsi"/>
        </w:rPr>
        <w:t>dojde k porušení povinnosti (uvedené v</w:t>
      </w:r>
      <w:r>
        <w:rPr>
          <w:rFonts w:cstheme="minorHAnsi"/>
        </w:rPr>
        <w:t> p</w:t>
      </w:r>
      <w:r w:rsidRPr="003D67C9">
        <w:rPr>
          <w:rFonts w:cstheme="minorHAnsi"/>
        </w:rPr>
        <w:t>ravidlech</w:t>
      </w:r>
      <w:r>
        <w:rPr>
          <w:rFonts w:cstheme="minorHAnsi"/>
        </w:rPr>
        <w:t xml:space="preserve"> FEUVV) informovat M</w:t>
      </w:r>
      <w:r w:rsidRPr="003D67C9">
        <w:rPr>
          <w:rFonts w:cstheme="minorHAnsi"/>
        </w:rPr>
        <w:t>V o změně daňového statusu, pokud se část DPH zahrnutá do již schválené žádosti o platbu stane nezpůsobilou (protože dojde ke vzniku nároku na odpočet DPH na vstupu)</w:t>
      </w:r>
      <w:r>
        <w:rPr>
          <w:rFonts w:cstheme="minorHAnsi"/>
        </w:rPr>
        <w:t>,</w:t>
      </w:r>
    </w:p>
    <w:p w:rsidR="00E90800" w:rsidRPr="006F5025" w:rsidRDefault="00E90800" w:rsidP="00E90800">
      <w:pPr>
        <w:spacing w:before="120" w:after="120"/>
        <w:ind w:left="567"/>
        <w:rPr>
          <w:rFonts w:cstheme="minorHAnsi"/>
        </w:rPr>
      </w:pPr>
      <w:r w:rsidRPr="00524D43">
        <w:rPr>
          <w:rFonts w:cstheme="minorHAnsi"/>
        </w:rPr>
        <w:t xml:space="preserve">bude odvod za porušení rozpočtové kázně vyměřen dle § 44a odst. 4 písm. a) rozpočtových pravidel </w:t>
      </w:r>
      <w:r w:rsidRPr="00524D43">
        <w:rPr>
          <w:rFonts w:cstheme="minorHAnsi"/>
          <w:highlight w:val="lightGray"/>
        </w:rPr>
        <w:t>ve výši 0,5 % z celkové částky podpory</w:t>
      </w:r>
      <w:r>
        <w:rPr>
          <w:rFonts w:cstheme="minorHAnsi"/>
          <w:highlight w:val="lightGray"/>
        </w:rPr>
        <w:t xml:space="preserve"> </w:t>
      </w:r>
      <w:r w:rsidRPr="00524D43">
        <w:rPr>
          <w:rFonts w:cstheme="minorHAnsi"/>
          <w:highlight w:val="lightGray"/>
        </w:rPr>
        <w:t>/</w:t>
      </w:r>
      <w:r>
        <w:rPr>
          <w:rFonts w:cstheme="minorHAnsi"/>
          <w:highlight w:val="lightGray"/>
        </w:rPr>
        <w:t xml:space="preserve"> </w:t>
      </w:r>
      <w:r w:rsidRPr="00524D43">
        <w:rPr>
          <w:rFonts w:cstheme="minorHAnsi"/>
          <w:highlight w:val="lightGray"/>
        </w:rPr>
        <w:t>ve výši 50.000 Kč za každé porušení</w:t>
      </w:r>
      <w:r w:rsidRPr="00524D43">
        <w:rPr>
          <w:rStyle w:val="Znakapoznpodarou"/>
          <w:rFonts w:cstheme="minorHAnsi"/>
          <w:highlight w:val="lightGray"/>
        </w:rPr>
        <w:footnoteReference w:id="10"/>
      </w:r>
      <w:r w:rsidRPr="00524D4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dojde k porušení povinností týkajících se zadávání zakázek (uvedených v části II bodě 6.1), jež je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považováno za porušení rozpočtové kázně, bude odvod za porušení rozpočtové kázně vyměřen dle § 44a odst. 4 písm. a) rozpočtových pravidel ve výši stanovené za porušení dané povinnosti v tabulce finančních oprav pro oblast zadávání obsažené v </w:t>
      </w:r>
      <w:r w:rsidRPr="00234535">
        <w:rPr>
          <w:rFonts w:asciiTheme="minorHAnsi" w:hAnsiTheme="minorHAnsi" w:cstheme="minorHAnsi"/>
          <w:sz w:val="22"/>
          <w:szCs w:val="22"/>
        </w:rPr>
        <w:t>Pravidlech pro žadatele a příjemce v rámci FEUVV – obecná část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 případě, že dojde k porušení povinností týkajících se provádění informačních a komunikačních opatření (uvedených v části II bodě 9), jež je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považováno za porušení rozpočtové kázně, bude odvod za porušení rozpočtové kázně vyměřen ve výši stanovené za porušení dané povinnosti v tabulce finančních oprav pro oblast publicity obsažené v </w:t>
      </w:r>
      <w:r w:rsidRPr="00234535">
        <w:rPr>
          <w:rFonts w:asciiTheme="minorHAnsi" w:hAnsiTheme="minorHAnsi" w:cstheme="minorHAnsi"/>
          <w:sz w:val="22"/>
          <w:szCs w:val="22"/>
        </w:rPr>
        <w:t>Pravidlech pro žadatele a příjemce v rámci FEUVV – obecná část</w:t>
      </w:r>
      <w:r w:rsidRPr="00524D43">
        <w:rPr>
          <w:rFonts w:asciiTheme="minorHAns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do data ukončení realizace projektu nebude dosažena celková cílová hodnota </w:t>
      </w:r>
      <w:r w:rsidRPr="0077666F">
        <w:rPr>
          <w:rFonts w:asciiTheme="minorHAnsi" w:hAnsiTheme="minorHAnsi" w:cstheme="minorHAnsi"/>
          <w:sz w:val="22"/>
          <w:szCs w:val="22"/>
        </w:rPr>
        <w:t xml:space="preserve">indikátorů </w:t>
      </w:r>
      <w:r w:rsidRPr="00524D43">
        <w:rPr>
          <w:rFonts w:asciiTheme="minorHAnsi" w:hAnsiTheme="minorHAnsi" w:cstheme="minorHAnsi"/>
          <w:sz w:val="22"/>
          <w:szCs w:val="22"/>
        </w:rPr>
        <w:t>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3893"/>
      </w:tblGrid>
      <w:tr w:rsidR="00E90800" w:rsidRPr="00524D43" w:rsidTr="00935C7A">
        <w:tc>
          <w:tcPr>
            <w:tcW w:w="4536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 xml:space="preserve">Celková míra naplnění indikátorů uvedených v </w:t>
            </w:r>
            <w:r>
              <w:rPr>
                <w:rFonts w:cstheme="minorHAnsi"/>
                <w:sz w:val="22"/>
              </w:rPr>
              <w:t>P</w:t>
            </w:r>
            <w:r w:rsidRPr="00524D43">
              <w:rPr>
                <w:rFonts w:cstheme="minorHAnsi"/>
                <w:sz w:val="22"/>
              </w:rPr>
              <w:t>rojektu v příloze č. 1</w:t>
            </w:r>
          </w:p>
        </w:tc>
        <w:tc>
          <w:tcPr>
            <w:tcW w:w="3897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Procento odvodu z částky, ve které byla porušena rozpočtová kázeň</w:t>
            </w:r>
          </w:p>
        </w:tc>
      </w:tr>
      <w:tr w:rsidR="00E90800" w:rsidRPr="00524D43" w:rsidTr="00935C7A">
        <w:tc>
          <w:tcPr>
            <w:tcW w:w="4536" w:type="dxa"/>
            <w:vAlign w:val="center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85 % až 70 %</w:t>
            </w:r>
          </w:p>
        </w:tc>
        <w:tc>
          <w:tcPr>
            <w:tcW w:w="3897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15 %</w:t>
            </w:r>
          </w:p>
        </w:tc>
      </w:tr>
      <w:tr w:rsidR="00E90800" w:rsidRPr="00524D43" w:rsidTr="00935C7A">
        <w:tc>
          <w:tcPr>
            <w:tcW w:w="4536" w:type="dxa"/>
            <w:vAlign w:val="center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70 % až 55 %</w:t>
            </w:r>
          </w:p>
        </w:tc>
        <w:tc>
          <w:tcPr>
            <w:tcW w:w="3897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20 %</w:t>
            </w:r>
          </w:p>
        </w:tc>
      </w:tr>
      <w:tr w:rsidR="00E90800" w:rsidRPr="00524D43" w:rsidTr="00935C7A">
        <w:tc>
          <w:tcPr>
            <w:tcW w:w="4536" w:type="dxa"/>
            <w:vAlign w:val="center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55 % až 40 %</w:t>
            </w:r>
          </w:p>
        </w:tc>
        <w:tc>
          <w:tcPr>
            <w:tcW w:w="3897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30 %</w:t>
            </w:r>
          </w:p>
        </w:tc>
      </w:tr>
      <w:tr w:rsidR="00E90800" w:rsidRPr="00524D43" w:rsidTr="00935C7A">
        <w:tc>
          <w:tcPr>
            <w:tcW w:w="4536" w:type="dxa"/>
            <w:vAlign w:val="center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sz w:val="22"/>
              </w:rPr>
            </w:pPr>
            <w:r w:rsidRPr="00524D43">
              <w:rPr>
                <w:rFonts w:cstheme="minorHAnsi"/>
                <w:sz w:val="22"/>
              </w:rPr>
              <w:t>méně než 40 %</w:t>
            </w:r>
          </w:p>
        </w:tc>
        <w:tc>
          <w:tcPr>
            <w:tcW w:w="3897" w:type="dxa"/>
          </w:tcPr>
          <w:p w:rsidR="00E90800" w:rsidRPr="00524D43" w:rsidRDefault="00E90800" w:rsidP="00935C7A">
            <w:pPr>
              <w:pStyle w:val="Tabulkatext12"/>
              <w:spacing w:before="20" w:after="20"/>
              <w:rPr>
                <w:rFonts w:cstheme="minorHAnsi"/>
                <w:bCs/>
                <w:sz w:val="22"/>
              </w:rPr>
            </w:pPr>
            <w:r w:rsidRPr="00524D43">
              <w:rPr>
                <w:rFonts w:cstheme="minorHAnsi"/>
                <w:sz w:val="22"/>
              </w:rPr>
              <w:t>50 %</w:t>
            </w:r>
          </w:p>
        </w:tc>
      </w:tr>
    </w:tbl>
    <w:p w:rsidR="00E90800" w:rsidRDefault="00E90800" w:rsidP="00E90800">
      <w:pPr>
        <w:spacing w:before="60" w:after="60"/>
        <w:ind w:left="567"/>
        <w:rPr>
          <w:rFonts w:cstheme="minorHAnsi"/>
        </w:rPr>
      </w:pPr>
      <w:r w:rsidRPr="00524D43">
        <w:rPr>
          <w:rFonts w:cstheme="minorHAnsi"/>
        </w:rPr>
        <w:t xml:space="preserve">V případě, že k okamžiku schválení závěrečné zprávy o realizaci projektu platná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ravidla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stanoví pro příjemce příznivěji jednotlivá rozmezí celkové míry naplnění indikátorů či s tímto spojené procento odvodu mírněji než tyto Podmínky, uplatní se při vyměření odvodu tato úprava v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>.</w:t>
      </w:r>
    </w:p>
    <w:p w:rsidR="00E90800" w:rsidRPr="0085277C" w:rsidRDefault="00E90800" w:rsidP="00E90800">
      <w:pPr>
        <w:pStyle w:val="slovanseznam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5277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5277C">
        <w:rPr>
          <w:rFonts w:asciiTheme="minorHAnsi" w:hAnsiTheme="minorHAnsi" w:cstheme="minorHAnsi"/>
          <w:sz w:val="22"/>
          <w:szCs w:val="22"/>
        </w:rPr>
        <w:t>případě</w:t>
      </w:r>
      <w:r>
        <w:rPr>
          <w:rFonts w:asciiTheme="minorHAnsi" w:hAnsiTheme="minorHAnsi" w:cstheme="minorHAnsi"/>
          <w:sz w:val="22"/>
          <w:szCs w:val="22"/>
        </w:rPr>
        <w:t xml:space="preserve"> nedodržení pravidel udržitelnosti stanovených v části II. bodě 4., bude vyměřen odvod na základě finanční opravy stanovené v </w:t>
      </w:r>
      <w:r w:rsidRPr="00234535">
        <w:rPr>
          <w:rFonts w:asciiTheme="minorHAnsi" w:hAnsiTheme="minorHAnsi" w:cstheme="minorHAnsi"/>
          <w:sz w:val="22"/>
          <w:szCs w:val="22"/>
        </w:rPr>
        <w:t>Pravidlech pro žadatele a příjemce v rámci FEUVV – obecná část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90800" w:rsidRPr="00833A4C" w:rsidRDefault="00E90800" w:rsidP="00E90800">
      <w:pPr>
        <w:pStyle w:val="slovanseznam"/>
        <w:numPr>
          <w:ilvl w:val="0"/>
          <w:numId w:val="10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33A4C">
        <w:rPr>
          <w:rFonts w:asciiTheme="minorHAnsi" w:hAnsiTheme="minorHAnsi" w:cstheme="minorHAnsi"/>
          <w:b/>
          <w:bCs/>
          <w:sz w:val="22"/>
          <w:szCs w:val="22"/>
        </w:rPr>
        <w:t>Porušení povinností, jež není porušením rozpočtové kázně</w:t>
      </w:r>
    </w:p>
    <w:p w:rsidR="00E90800" w:rsidRPr="00833A4C" w:rsidRDefault="00E90800" w:rsidP="00E90800">
      <w:pPr>
        <w:pStyle w:val="slovanseznam"/>
        <w:spacing w:after="60"/>
        <w:rPr>
          <w:rFonts w:asciiTheme="minorHAnsi" w:hAnsiTheme="minorHAnsi" w:cstheme="minorHAnsi"/>
          <w:sz w:val="22"/>
          <w:szCs w:val="22"/>
        </w:rPr>
      </w:pPr>
      <w:r w:rsidRPr="00833A4C">
        <w:rPr>
          <w:rFonts w:asciiTheme="minorHAnsi" w:hAnsiTheme="minorHAnsi" w:cstheme="minorHAnsi"/>
          <w:sz w:val="22"/>
          <w:szCs w:val="22"/>
        </w:rPr>
        <w:t xml:space="preserve">V případě, že </w:t>
      </w:r>
    </w:p>
    <w:p w:rsidR="00E90800" w:rsidRPr="00833A4C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833A4C">
        <w:rPr>
          <w:rFonts w:cstheme="minorHAnsi"/>
        </w:rPr>
        <w:t>dojde k porušení povinností předložit MV zprávu o realizaci projektu (včetně žádosti o platbu), předložit MV vyžádanou informaci (uvedených v části II bodě 5.2 a bodě 10, v části III v bodech 2.2 až 2.4) a prodlení bude trvat méně než 7 kalendářních dní, přičemž určující pro počátek běhu prodlení je termín vyplývající z těchto Podmínek ve znění případného vyjádření MV o změně termínu, které je příjemci k dispozici v MS2021+, (netýká se situací, kdy příjemce nemohl z důvodu technických překážek na straně MS2021+ zprávu o realizaci projektu nebo žádost o platbu předložit),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předložit MV zprávu o realizaci projektu, včetně žádosti o platbu (uvedených v části III v bodech 2.2 až 2.4) nebo povinnosti předložit </w:t>
      </w:r>
      <w:r>
        <w:rPr>
          <w:rFonts w:cstheme="minorHAnsi"/>
        </w:rPr>
        <w:t>MV</w:t>
      </w:r>
      <w:r w:rsidRPr="00524D43">
        <w:rPr>
          <w:rFonts w:cstheme="minorHAnsi"/>
        </w:rPr>
        <w:t xml:space="preserve"> informace o plánovaných aktivitách projektu vyžádané podle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a prodlení je způsobeno tím, že příjemce nemohl z důvodu technických překážek na straně MS2021+, </w:t>
      </w:r>
      <w:r w:rsidRPr="005760BF">
        <w:rPr>
          <w:rFonts w:cstheme="minorHAnsi"/>
          <w:shd w:val="clear" w:color="auto" w:fill="D9D9D9" w:themeFill="background1" w:themeFillShade="D9"/>
        </w:rPr>
        <w:t>resp. IS ESF</w:t>
      </w:r>
      <w:r>
        <w:rPr>
          <w:rStyle w:val="Znakapoznpodarou"/>
          <w:rFonts w:cstheme="minorHAnsi"/>
          <w:shd w:val="clear" w:color="auto" w:fill="D9D9D9" w:themeFill="background1" w:themeFillShade="D9"/>
        </w:rPr>
        <w:footnoteReference w:id="11"/>
      </w:r>
      <w:r w:rsidRPr="00524D43">
        <w:rPr>
          <w:rFonts w:cstheme="minorHAnsi"/>
        </w:rPr>
        <w:t>, zprávu o realizaci projektu, žádost o platbu nebo informace o plánovaných aktivitách projektu předložit,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 porušení povinností týkajících se zadávání zakázek (uvedených v části II bodě 6.1), jež 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považováno za porušení rozpočtové kázně, nebo dojde k porušení povinností uvedených v části II bodě 6.2,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 xml:space="preserve">dojde k porušení povinností týkajících se provádění informačních a komunikačních opatření (uvedených v části II bodě 9), jež dle 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ravidel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není považováno za porušení rozpočtové kázně,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týkající se oznamování (uvedené v části II bodě 11), včetně oznamování nepodstatných změn a v </w:t>
      </w:r>
      <w:r>
        <w:rPr>
          <w:rFonts w:cstheme="minorHAnsi"/>
        </w:rPr>
        <w:t>p</w:t>
      </w:r>
      <w:r w:rsidRPr="00524D43">
        <w:rPr>
          <w:rFonts w:cstheme="minorHAnsi"/>
        </w:rPr>
        <w:t xml:space="preserve">ravidlech </w:t>
      </w:r>
      <w:r>
        <w:rPr>
          <w:rFonts w:cstheme="minorHAnsi"/>
        </w:rPr>
        <w:t>FEUVV</w:t>
      </w:r>
      <w:r w:rsidRPr="00524D43">
        <w:rPr>
          <w:rFonts w:cstheme="minorHAnsi"/>
        </w:rPr>
        <w:t xml:space="preserve"> je pro dané pochybení stanoveno, že nezakládá porušení rozpočtové kázně, 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524D43" w:rsidDel="00994D92">
        <w:rPr>
          <w:rFonts w:cstheme="minorHAnsi"/>
        </w:rPr>
        <w:t xml:space="preserve"> </w:t>
      </w:r>
      <w:r w:rsidRPr="00524D43">
        <w:rPr>
          <w:rFonts w:cstheme="minorHAnsi"/>
        </w:rPr>
        <w:t>(uvedených v části II bodě 13),</w:t>
      </w:r>
    </w:p>
    <w:p w:rsidR="00E90800" w:rsidRPr="008C1AF7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lastRenderedPageBreak/>
        <w:t>bude splněna cílová hodnota indikátorů uvedených v </w:t>
      </w:r>
      <w:r>
        <w:rPr>
          <w:rFonts w:cstheme="minorHAnsi"/>
        </w:rPr>
        <w:t>P</w:t>
      </w:r>
      <w:r w:rsidRPr="00524D43">
        <w:rPr>
          <w:rFonts w:cstheme="minorHAnsi"/>
        </w:rPr>
        <w:t>rojektu v příloze č. 1 těchto Podmínek z 85 % nebo více,</w:t>
      </w:r>
      <w:r w:rsidRPr="008C1AF7">
        <w:rPr>
          <w:rFonts w:cstheme="minorHAnsi"/>
        </w:rPr>
        <w:t xml:space="preserve"> 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nedodržení finančního plánu projektu obsaženého v příloze č. 1 těchto Podmínek, příp. upraveného v režimu nepodstatných změn projektu,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 porušení povinností dle části VI těchto Podmínek,</w:t>
      </w:r>
    </w:p>
    <w:p w:rsidR="00E90800" w:rsidRPr="00524D43" w:rsidRDefault="00E90800" w:rsidP="00E90800">
      <w:pPr>
        <w:pStyle w:val="Odrky311"/>
        <w:numPr>
          <w:ilvl w:val="2"/>
          <w:numId w:val="1"/>
        </w:numPr>
        <w:tabs>
          <w:tab w:val="clear" w:pos="1588"/>
          <w:tab w:val="num" w:pos="709"/>
        </w:tabs>
        <w:spacing w:before="120" w:after="120"/>
        <w:ind w:left="709" w:hanging="284"/>
        <w:contextualSpacing w:val="0"/>
        <w:rPr>
          <w:rFonts w:cstheme="minorHAnsi"/>
        </w:rPr>
      </w:pPr>
      <w:r w:rsidRPr="00524D43">
        <w:rPr>
          <w:rFonts w:cstheme="minorHAnsi"/>
        </w:rPr>
        <w:t>dojde k porušení povinnosti aktualizovat v IS KP21+ údaje o zakázkách a kontrolách/auditech týkajících se projektu,</w:t>
      </w:r>
    </w:p>
    <w:p w:rsidR="00E90800" w:rsidRPr="00524D43" w:rsidRDefault="00E90800" w:rsidP="00E90800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>nejedná se o porušení rozpočtové kázně ve smyslu rozpočtových pravidel.</w:t>
      </w:r>
    </w:p>
    <w:p w:rsidR="00E90800" w:rsidRPr="00524D43" w:rsidRDefault="00E90800" w:rsidP="00E90800">
      <w:pPr>
        <w:shd w:val="clear" w:color="auto" w:fill="F2F2F2"/>
        <w:rPr>
          <w:rFonts w:eastAsia="Calibri" w:cstheme="minorHAnsi"/>
          <w:b/>
        </w:rPr>
      </w:pPr>
      <w:r w:rsidRPr="00524D43">
        <w:rPr>
          <w:rFonts w:eastAsia="Calibri" w:cstheme="minorHAnsi"/>
          <w:b/>
        </w:rPr>
        <w:t xml:space="preserve">Část VI – Pověření ke zpracování osobních údajů </w:t>
      </w:r>
    </w:p>
    <w:p w:rsidR="00E90800" w:rsidRPr="00524D43" w:rsidRDefault="00E90800" w:rsidP="00E90800">
      <w:pPr>
        <w:numPr>
          <w:ilvl w:val="0"/>
          <w:numId w:val="13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 xml:space="preserve">Pověření a účel zpracování osobních údajů </w:t>
      </w:r>
    </w:p>
    <w:p w:rsidR="00E90800" w:rsidRPr="00524D43" w:rsidRDefault="00E90800" w:rsidP="00E90800">
      <w:pPr>
        <w:pStyle w:val="slovanseznam"/>
        <w:numPr>
          <w:ilvl w:val="1"/>
          <w:numId w:val="13"/>
        </w:num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MV je jakožto správce podle čl. 6 odst. 1 písm. c) a podle čl. 9 odst. 2 písm. g) nařízení Evropského parlamentu a Rady (EU) 2016/679 ze dne 27. dubna 2016, o ochraně fyzických osob v souvislosti se zpracováním osobních údajů a o volném pohybu těchto údajů a o zrušení směrnice 95/46/ES (dále jen „Obecné nařízení o ochraně osobních údajů“), oprávněno zpracovávat osobní údaje </w:t>
      </w:r>
      <w:r>
        <w:rPr>
          <w:rFonts w:asciiTheme="minorHAnsi" w:eastAsia="Calibri" w:hAnsiTheme="minorHAnsi" w:cstheme="minorHAnsi"/>
          <w:sz w:val="22"/>
          <w:szCs w:val="22"/>
        </w:rPr>
        <w:t xml:space="preserve">osob 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podpořených </w:t>
      </w:r>
      <w:r>
        <w:rPr>
          <w:rFonts w:asciiTheme="minorHAnsi" w:eastAsia="Calibri" w:hAnsiTheme="minorHAnsi" w:cstheme="minorHAnsi"/>
          <w:sz w:val="22"/>
          <w:szCs w:val="22"/>
        </w:rPr>
        <w:t>v souvislosti s realizací projektu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 (včetně zvláštních kategorií osobních údajů) na základě </w:t>
      </w:r>
      <w:r w:rsidRPr="005D1886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</w:rPr>
        <w:t>Nařízení Evropského parlamentu a Rady (EU) 2021/1147 ze dne 7. července 2021, kterým se zřizuje Azylový, migrační a integrační f</w:t>
      </w:r>
      <w:r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</w:rPr>
        <w:t>ond</w:t>
      </w:r>
      <w:r w:rsidRPr="00524D43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1"/>
          <w:numId w:val="13"/>
        </w:num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524D43">
        <w:rPr>
          <w:rFonts w:asciiTheme="minorHAnsi" w:eastAsia="Calibri" w:hAnsiTheme="minorHAnsi" w:cstheme="minorHAnsi"/>
          <w:sz w:val="22"/>
          <w:szCs w:val="22"/>
        </w:rPr>
        <w:t>MV pověřuje příjemce, jakožto zpracovatele, ke zpracování osobních údajů, včetně zvláštní kategorie osobních údajů (dále jen „osobní údaje“), osob podpořených v </w:t>
      </w:r>
      <w:r>
        <w:rPr>
          <w:rFonts w:asciiTheme="minorHAnsi" w:eastAsia="Calibri" w:hAnsiTheme="minorHAnsi" w:cstheme="minorHAnsi"/>
          <w:sz w:val="22"/>
          <w:szCs w:val="22"/>
        </w:rPr>
        <w:t xml:space="preserve">souvislosti s realizací 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projektu za účelem prokázání řádného a efektivního nakládání s prostředky </w:t>
      </w:r>
      <w:r w:rsidRPr="005D1886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</w:rPr>
        <w:t>Azylového, migračního a integračního fond</w:t>
      </w:r>
      <w:r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</w:rPr>
        <w:t>u</w:t>
      </w:r>
      <w:r w:rsidRPr="00833A4C">
        <w:rPr>
          <w:rFonts w:asciiTheme="minorHAnsi" w:eastAsia="Calibri" w:hAnsiTheme="minorHAnsi" w:cstheme="minorHAnsi"/>
          <w:sz w:val="22"/>
          <w:szCs w:val="22"/>
        </w:rPr>
        <w:t xml:space="preserve"> 2021-2027</w:t>
      </w:r>
      <w:r w:rsidRPr="00524D43">
        <w:rPr>
          <w:rFonts w:asciiTheme="minorHAnsi" w:eastAsia="Calibri" w:hAnsiTheme="minorHAnsi" w:cstheme="minorHAnsi"/>
          <w:sz w:val="22"/>
          <w:szCs w:val="22"/>
        </w:rPr>
        <w:t>, které byly na realizaci projektu poskytnuty z </w:t>
      </w:r>
      <w:r>
        <w:rPr>
          <w:rFonts w:asciiTheme="minorHAnsi" w:eastAsia="Calibri" w:hAnsiTheme="minorHAnsi" w:cstheme="minorHAnsi"/>
          <w:sz w:val="22"/>
          <w:szCs w:val="22"/>
        </w:rPr>
        <w:t>FEUVV</w:t>
      </w:r>
      <w:r w:rsidRPr="00524D43">
        <w:rPr>
          <w:rFonts w:asciiTheme="minorHAnsi" w:eastAsia="Calibri" w:hAnsiTheme="minorHAnsi" w:cstheme="minorHAnsi"/>
          <w:sz w:val="22"/>
          <w:szCs w:val="22"/>
        </w:rPr>
        <w:t xml:space="preserve"> těmito Podmínkami, a to v rozsahu uvedeném v bodě 2 části VI těchto Podmínek.</w:t>
      </w:r>
    </w:p>
    <w:p w:rsidR="00E90800" w:rsidRPr="00524D43" w:rsidRDefault="00E90800" w:rsidP="00E90800">
      <w:pPr>
        <w:numPr>
          <w:ilvl w:val="0"/>
          <w:numId w:val="13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Rozsah zpracování osobních údajů na základě pověření a jejich ochrana</w:t>
      </w:r>
    </w:p>
    <w:p w:rsidR="00E90800" w:rsidRPr="00524D43" w:rsidRDefault="00E90800" w:rsidP="00E90800">
      <w:pPr>
        <w:numPr>
          <w:ilvl w:val="1"/>
          <w:numId w:val="13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oprávněn zpracovávat osobní údaje </w:t>
      </w:r>
      <w:r>
        <w:rPr>
          <w:rFonts w:eastAsia="Calibri" w:cstheme="minorHAnsi"/>
        </w:rPr>
        <w:t>osob, které v souvislosti s real</w:t>
      </w:r>
      <w:r>
        <w:rPr>
          <w:rFonts w:eastAsia="Calibri" w:cstheme="minorHAnsi"/>
        </w:rPr>
        <w:t>izací projektu získaly podporu,</w:t>
      </w:r>
      <w:r w:rsidRPr="00524D43">
        <w:rPr>
          <w:rFonts w:eastAsia="Calibri" w:cstheme="minorHAnsi"/>
        </w:rPr>
        <w:t xml:space="preserve"> v rozsahu vymezeném v </w:t>
      </w:r>
      <w:r>
        <w:rPr>
          <w:rFonts w:eastAsia="Calibri" w:cstheme="minorHAnsi"/>
        </w:rPr>
        <w:t>P</w:t>
      </w:r>
      <w:r w:rsidRPr="00524D43">
        <w:rPr>
          <w:rFonts w:eastAsia="Calibri" w:cstheme="minorHAnsi"/>
        </w:rPr>
        <w:t>ravidl</w:t>
      </w:r>
      <w:r>
        <w:rPr>
          <w:rFonts w:eastAsia="Calibri" w:cstheme="minorHAnsi"/>
        </w:rPr>
        <w:t>ech</w:t>
      </w:r>
      <w:r w:rsidRPr="00524D43">
        <w:rPr>
          <w:rFonts w:eastAsia="Calibri" w:cstheme="minorHAnsi"/>
        </w:rPr>
        <w:t xml:space="preserve"> pro žadatele a příjemce v rámci </w:t>
      </w:r>
      <w:r>
        <w:rPr>
          <w:rFonts w:eastAsia="Calibri" w:cstheme="minorHAnsi"/>
          <w:lang w:eastAsia="cs-CZ"/>
        </w:rPr>
        <w:t>FEUVV – obecná část</w:t>
      </w:r>
      <w:r w:rsidRPr="00524D43">
        <w:rPr>
          <w:rFonts w:eastAsia="Calibri" w:cstheme="minorHAnsi"/>
        </w:rPr>
        <w:t>.</w:t>
      </w:r>
    </w:p>
    <w:p w:rsidR="00E90800" w:rsidRPr="00524D43" w:rsidRDefault="00E90800" w:rsidP="00E90800">
      <w:pPr>
        <w:numPr>
          <w:ilvl w:val="1"/>
          <w:numId w:val="13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Osobní údaje je příjemce oprávněn zpracovávat výhradně v souvislosti s realizací projektu, zejména pak při přípravě zpráv o realizaci projektu.</w:t>
      </w:r>
    </w:p>
    <w:p w:rsidR="00E90800" w:rsidRPr="00524D43" w:rsidRDefault="00E90800" w:rsidP="00E90800">
      <w:pPr>
        <w:numPr>
          <w:ilvl w:val="0"/>
          <w:numId w:val="13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Technické a organizační zabezpečení ochrany osobních údajů</w:t>
      </w:r>
    </w:p>
    <w:p w:rsidR="00E90800" w:rsidRPr="00524D43" w:rsidRDefault="00E90800" w:rsidP="00E90800">
      <w:pPr>
        <w:spacing w:after="60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povinen zpracovávat a chránit osobní údaje v souladu s </w:t>
      </w:r>
      <w:r w:rsidRPr="00524D43">
        <w:rPr>
          <w:rFonts w:cstheme="minorHAnsi"/>
        </w:rPr>
        <w:t xml:space="preserve">Obecným nařízením </w:t>
      </w:r>
      <w:r w:rsidRPr="00524D43">
        <w:rPr>
          <w:rFonts w:eastAsia="Calibri" w:cstheme="minorHAnsi"/>
        </w:rPr>
        <w:t>o ochraně osobních údajů, a to zejména takto:</w:t>
      </w:r>
    </w:p>
    <w:p w:rsidR="00E90800" w:rsidRDefault="00E90800" w:rsidP="00E90800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osobní údaje ve fyzické podobě, tj. listinné údaje či na nosičích dat, budou uchovávány v uzamykatelných schránkách, a to po dobu uvedenou v bodě 4 této části těchto Podmínek; </w:t>
      </w:r>
    </w:p>
    <w:p w:rsidR="00E90800" w:rsidRPr="00524D43" w:rsidRDefault="00E90800" w:rsidP="00E90800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přístup ke zpracovávaným osobním údajům umožní příjemce pouze MV, svým zaměstnancům a orgánům oprávněným provádět kontrolu podle části II bodu 8 těchto Podmínek, </w:t>
      </w:r>
      <w:r w:rsidRPr="00524D43">
        <w:rPr>
          <w:rFonts w:cstheme="minorHAnsi"/>
        </w:rPr>
        <w:t>s výjimkami uvedenými v bodu 6 této části Podmínek</w:t>
      </w:r>
      <w:r w:rsidRPr="00524D43">
        <w:rPr>
          <w:rFonts w:eastAsia="Calibri" w:cstheme="minorHAnsi"/>
        </w:rPr>
        <w:t>;</w:t>
      </w:r>
    </w:p>
    <w:p w:rsidR="00E90800" w:rsidRPr="00524D43" w:rsidRDefault="00E90800" w:rsidP="00E90800">
      <w:pPr>
        <w:numPr>
          <w:ilvl w:val="0"/>
          <w:numId w:val="14"/>
        </w:numPr>
        <w:spacing w:before="120" w:after="120" w:line="240" w:lineRule="auto"/>
        <w:ind w:left="357" w:hanging="357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zaměstnanci příjemce, kterým bude umožněn přístup ke zpracovávaným osobním údajům, budou příjemcem doložitelně poučeni o povinnosti zachovávat mlčenlivost </w:t>
      </w:r>
      <w:r>
        <w:rPr>
          <w:rFonts w:eastAsia="Calibri" w:cstheme="minorHAnsi"/>
        </w:rPr>
        <w:t xml:space="preserve">podle </w:t>
      </w:r>
      <w:r w:rsidRPr="00524D43">
        <w:rPr>
          <w:rFonts w:cstheme="minorHAnsi"/>
        </w:rPr>
        <w:t>čl. 28 odst. 3 písm. b) Obecného nařízení o ochraně osobních údajů</w:t>
      </w:r>
      <w:r w:rsidRPr="00524D43">
        <w:rPr>
          <w:rFonts w:eastAsia="Calibri" w:cstheme="minorHAnsi"/>
        </w:rPr>
        <w:t>.</w:t>
      </w:r>
    </w:p>
    <w:p w:rsidR="00E90800" w:rsidRPr="00524D43" w:rsidRDefault="00E90800" w:rsidP="00E90800">
      <w:pPr>
        <w:keepNext/>
        <w:numPr>
          <w:ilvl w:val="0"/>
          <w:numId w:val="13"/>
        </w:numPr>
        <w:spacing w:before="360" w:after="120" w:line="240" w:lineRule="auto"/>
        <w:ind w:left="357" w:hanging="357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lastRenderedPageBreak/>
        <w:t>Doba zpracování</w:t>
      </w:r>
    </w:p>
    <w:p w:rsidR="00E90800" w:rsidRPr="00524D43" w:rsidRDefault="00E90800" w:rsidP="00E90800">
      <w:pPr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oprávněn zpracovávat osobní údaje po dobu deseti let od ukončení realizace projektu, </w:t>
      </w:r>
      <w:r w:rsidRPr="00524D43">
        <w:rPr>
          <w:rFonts w:cstheme="minorHAnsi"/>
        </w:rPr>
        <w:t>přičemž tato lhůta začíná běžet 1. ledna následujícího kalendářního roku poté, co byla realizace projektu ukončena</w:t>
      </w:r>
      <w:r w:rsidRPr="00524D43">
        <w:rPr>
          <w:rFonts w:eastAsia="Calibri" w:cstheme="minorHAnsi"/>
        </w:rPr>
        <w:t>. Bez zbytečného odkladu po uplynutí této doby je příjemce povinen provést likvidaci těchto osobních údajů.</w:t>
      </w:r>
    </w:p>
    <w:p w:rsidR="00E90800" w:rsidRPr="00524D43" w:rsidRDefault="00E90800" w:rsidP="00E90800">
      <w:pPr>
        <w:numPr>
          <w:ilvl w:val="0"/>
          <w:numId w:val="13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Další povinnosti příjemce v souvislosti se zpracováním osobních údajů</w:t>
      </w:r>
    </w:p>
    <w:p w:rsidR="00E90800" w:rsidRPr="00524D43" w:rsidRDefault="00E90800" w:rsidP="00E90800">
      <w:pPr>
        <w:numPr>
          <w:ilvl w:val="1"/>
          <w:numId w:val="13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povinen MV v souladu s čl. 33 odst. 2 Obecného nařízení o ochraně osobních údajů informovat o jakémkoli porušení zabezpečení osobních údajů, a to do 24 hodin od okamžiku, kdy se o něm dozvěděl. </w:t>
      </w:r>
    </w:p>
    <w:p w:rsidR="00E90800" w:rsidRPr="00524D43" w:rsidRDefault="00E90800" w:rsidP="00E90800">
      <w:pPr>
        <w:numPr>
          <w:ilvl w:val="1"/>
          <w:numId w:val="13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Příjemce je povinen na základě vyžádání předat poskytovateli veškeré informace potřebné k doložení splnění povinností stanovených v této části Podmínek.</w:t>
      </w:r>
    </w:p>
    <w:p w:rsidR="00E90800" w:rsidRPr="00524D43" w:rsidRDefault="00E90800" w:rsidP="00E90800">
      <w:pPr>
        <w:numPr>
          <w:ilvl w:val="1"/>
          <w:numId w:val="13"/>
        </w:numPr>
        <w:spacing w:before="40" w:after="4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Příjemce je povinen spolupracovat s MV při plnění jeho povinnosti reagovat na žádosti podpořených osob týkající se jejich osobních údajů.</w:t>
      </w:r>
    </w:p>
    <w:p w:rsidR="00E90800" w:rsidRPr="00524D43" w:rsidRDefault="00E90800" w:rsidP="00E90800">
      <w:pPr>
        <w:numPr>
          <w:ilvl w:val="0"/>
          <w:numId w:val="13"/>
        </w:numPr>
        <w:spacing w:before="240" w:after="120" w:line="240" w:lineRule="auto"/>
        <w:rPr>
          <w:rFonts w:eastAsia="Times New Roman" w:cstheme="minorHAnsi"/>
          <w:b/>
          <w:bCs/>
          <w:lang w:eastAsia="cs-CZ"/>
        </w:rPr>
      </w:pPr>
      <w:r w:rsidRPr="00524D43">
        <w:rPr>
          <w:rFonts w:eastAsia="Times New Roman" w:cstheme="minorHAnsi"/>
          <w:b/>
          <w:bCs/>
          <w:lang w:eastAsia="cs-CZ"/>
        </w:rPr>
        <w:t>Zpracování ostatními osobami</w:t>
      </w:r>
    </w:p>
    <w:p w:rsidR="00E90800" w:rsidRPr="00524D43" w:rsidRDefault="00E90800" w:rsidP="00E90800">
      <w:pPr>
        <w:numPr>
          <w:ilvl w:val="1"/>
          <w:numId w:val="13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Příjemce je povinen uzavřít smlouvu podle </w:t>
      </w:r>
      <w:r w:rsidRPr="00524D43">
        <w:rPr>
          <w:rFonts w:cstheme="minorHAnsi"/>
        </w:rPr>
        <w:t xml:space="preserve">čl. 28 odst. 4 Obecného nařízení o ochraně osobních údajů </w:t>
      </w:r>
      <w:r w:rsidRPr="00524D43">
        <w:rPr>
          <w:rFonts w:eastAsia="Calibri" w:cstheme="minorHAnsi"/>
        </w:rPr>
        <w:t xml:space="preserve">s partnerem nebo s dodavatelem, pokud taková osoba má v souvislosti s realizací projektu zpracovávat osobní údaje </w:t>
      </w:r>
      <w:r>
        <w:rPr>
          <w:rFonts w:eastAsia="Calibri" w:cstheme="minorHAnsi"/>
        </w:rPr>
        <w:t xml:space="preserve">osob </w:t>
      </w:r>
      <w:r w:rsidRPr="00524D43">
        <w:rPr>
          <w:rFonts w:eastAsia="Calibri" w:cstheme="minorHAnsi"/>
        </w:rPr>
        <w:t xml:space="preserve">podpořených </w:t>
      </w:r>
      <w:r>
        <w:rPr>
          <w:rFonts w:eastAsia="Calibri" w:cstheme="minorHAnsi"/>
        </w:rPr>
        <w:t>v souvislosti s realizací projektu</w:t>
      </w:r>
      <w:r w:rsidRPr="00524D43">
        <w:rPr>
          <w:rFonts w:eastAsia="Calibri" w:cstheme="minorHAnsi"/>
        </w:rPr>
        <w:t>. Stejnou povinnost má partner vůči svému dodavateli. Příjemce je povinen předem MV informovat o veškerých subjektech, které mají v projektu působit jako zpracovatelé osobních údajů. MV je oprávněno vyslovit vůči zapojení těchto subjektů jakožto zpracovatelů osobních údajů námitky.</w:t>
      </w:r>
    </w:p>
    <w:p w:rsidR="00E90800" w:rsidRPr="00524D43" w:rsidRDefault="00E90800" w:rsidP="00E90800">
      <w:pPr>
        <w:numPr>
          <w:ilvl w:val="1"/>
          <w:numId w:val="13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>Smlouvy uzavírané podle č</w:t>
      </w:r>
      <w:r w:rsidRPr="00524D43">
        <w:rPr>
          <w:rFonts w:cstheme="minorHAnsi"/>
        </w:rPr>
        <w:t>l. 28 odst. 4 Obecného nařízení o ochraně osobních údajů</w:t>
      </w:r>
      <w:r w:rsidRPr="00524D43">
        <w:rPr>
          <w:rFonts w:eastAsia="Calibri" w:cstheme="minorHAnsi"/>
        </w:rPr>
        <w:t xml:space="preserve"> s partnerem, resp. s dodavatelem musí upravovat podmínky zpracování osobních údajů stejně jako podmínky stanovené v pověření příjemce v této části těchto Podmínek.</w:t>
      </w:r>
    </w:p>
    <w:p w:rsidR="00E90800" w:rsidRPr="00524D43" w:rsidRDefault="00E90800" w:rsidP="00E90800">
      <w:pPr>
        <w:numPr>
          <w:ilvl w:val="1"/>
          <w:numId w:val="13"/>
        </w:numPr>
        <w:spacing w:before="120" w:after="120" w:line="240" w:lineRule="auto"/>
        <w:rPr>
          <w:rFonts w:eastAsia="Calibri" w:cstheme="minorHAnsi"/>
        </w:rPr>
      </w:pPr>
      <w:r w:rsidRPr="00524D43">
        <w:rPr>
          <w:rFonts w:eastAsia="Calibri" w:cstheme="minorHAnsi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:rsidR="00E90800" w:rsidRDefault="00E90800" w:rsidP="00E90800">
      <w:pPr>
        <w:rPr>
          <w:rFonts w:cstheme="minorHAnsi"/>
        </w:rPr>
      </w:pPr>
    </w:p>
    <w:p w:rsidR="00E90800" w:rsidRDefault="00E90800" w:rsidP="00E90800">
      <w:pPr>
        <w:shd w:val="clear" w:color="auto" w:fill="E8E8E8"/>
        <w:rPr>
          <w:rFonts w:eastAsia="Arial" w:cstheme="minorHAnsi"/>
          <w:b/>
        </w:rPr>
      </w:pPr>
      <w:r w:rsidRPr="006F5025">
        <w:rPr>
          <w:rFonts w:eastAsia="Arial" w:cstheme="minorHAnsi"/>
          <w:b/>
        </w:rPr>
        <w:t xml:space="preserve">Část VII – </w:t>
      </w:r>
      <w:r>
        <w:rPr>
          <w:rFonts w:eastAsia="Arial" w:cstheme="minorHAnsi"/>
          <w:b/>
        </w:rPr>
        <w:t>Důvody pro použití přímého udělení podpory z </w:t>
      </w:r>
      <w:r w:rsidRPr="00425107">
        <w:rPr>
          <w:rFonts w:cstheme="minorHAnsi"/>
          <w:b/>
        </w:rPr>
        <w:t xml:space="preserve">Operačního programu </w:t>
      </w:r>
      <w:r w:rsidRPr="00425107">
        <w:rPr>
          <w:rFonts w:ascii="Calibri" w:hAnsi="Calibri" w:cs="Calibri"/>
          <w:b/>
        </w:rPr>
        <w:t xml:space="preserve">Azylového, migračního a integračního </w:t>
      </w:r>
      <w:r>
        <w:rPr>
          <w:rFonts w:ascii="Calibri" w:hAnsi="Calibri" w:cs="Calibri"/>
          <w:b/>
        </w:rPr>
        <w:t>fondu</w:t>
      </w:r>
      <w:bookmarkStart w:id="0" w:name="_GoBack"/>
      <w:bookmarkEnd w:id="0"/>
    </w:p>
    <w:p w:rsidR="00E90800" w:rsidRPr="00165911" w:rsidRDefault="00E90800" w:rsidP="00E90800">
      <w:pPr>
        <w:spacing w:before="240" w:line="240" w:lineRule="auto"/>
        <w:jc w:val="center"/>
        <w:rPr>
          <w:szCs w:val="24"/>
        </w:rPr>
      </w:pPr>
      <w:r w:rsidRPr="00165911">
        <w:rPr>
          <w:szCs w:val="24"/>
        </w:rPr>
        <w:t>[…]</w:t>
      </w:r>
    </w:p>
    <w:p w:rsidR="00E90800" w:rsidRPr="00524D43" w:rsidRDefault="00E90800" w:rsidP="00E90800">
      <w:pPr>
        <w:rPr>
          <w:rFonts w:cstheme="minorHAnsi"/>
        </w:rPr>
      </w:pPr>
    </w:p>
    <w:p w:rsidR="00E90800" w:rsidRPr="00524D43" w:rsidRDefault="00E90800" w:rsidP="00E90800">
      <w:pPr>
        <w:shd w:val="clear" w:color="auto" w:fill="F2F2F2" w:themeFill="background1" w:themeFillShade="F2"/>
        <w:rPr>
          <w:rFonts w:cstheme="minorHAnsi"/>
          <w:b/>
        </w:rPr>
      </w:pPr>
      <w:r w:rsidRPr="00524D43">
        <w:rPr>
          <w:rFonts w:cstheme="minorHAnsi"/>
          <w:b/>
        </w:rPr>
        <w:t>Část VII</w:t>
      </w:r>
      <w:r>
        <w:rPr>
          <w:rFonts w:cstheme="minorHAnsi"/>
          <w:b/>
        </w:rPr>
        <w:t>I</w:t>
      </w:r>
      <w:r w:rsidRPr="00524D43">
        <w:rPr>
          <w:rFonts w:cstheme="minorHAnsi"/>
          <w:b/>
        </w:rPr>
        <w:t xml:space="preserve"> – Závěrečná ustanovení</w:t>
      </w:r>
    </w:p>
    <w:p w:rsidR="00E90800" w:rsidRPr="00524D43" w:rsidRDefault="00E90800" w:rsidP="00E90800">
      <w:pPr>
        <w:pStyle w:val="slovanseznam"/>
        <w:numPr>
          <w:ilvl w:val="0"/>
          <w:numId w:val="11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524D43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ravidlech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.</w:t>
      </w:r>
    </w:p>
    <w:p w:rsidR="00E90800" w:rsidRPr="00524D43" w:rsidRDefault="00E90800" w:rsidP="00E90800">
      <w:pPr>
        <w:pStyle w:val="slovanseznam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Příjemce je povinen řídit se při realizaci projektu ustanoveními příloh uvedených v bodě 3 této části Podmínek a dále dokumenty, které jsou zmíněny v části II bodě 1 těchto Podmínek.</w:t>
      </w:r>
    </w:p>
    <w:p w:rsidR="00E90800" w:rsidRPr="00524D43" w:rsidRDefault="00E90800" w:rsidP="00E90800">
      <w:pPr>
        <w:pStyle w:val="slovanseznam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>Součástí Podmínek jsou tyto přílohy:</w:t>
      </w:r>
    </w:p>
    <w:p w:rsidR="00E90800" w:rsidRPr="00524D43" w:rsidRDefault="00E90800" w:rsidP="00E90800">
      <w:pPr>
        <w:pStyle w:val="slovanseznam"/>
        <w:numPr>
          <w:ilvl w:val="0"/>
          <w:numId w:val="3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Příloha č. 1 – </w:t>
      </w:r>
      <w:r>
        <w:rPr>
          <w:rFonts w:asciiTheme="minorHAnsi" w:hAnsiTheme="minorHAnsi" w:cstheme="minorHAnsi"/>
          <w:iCs/>
          <w:snapToGrid w:val="0"/>
          <w:sz w:val="22"/>
          <w:szCs w:val="22"/>
        </w:rPr>
        <w:t>Projekt</w:t>
      </w:r>
    </w:p>
    <w:p w:rsidR="00E90800" w:rsidRPr="00524D43" w:rsidRDefault="00E90800" w:rsidP="00E90800">
      <w:pPr>
        <w:pStyle w:val="slovanseznam"/>
        <w:numPr>
          <w:ilvl w:val="0"/>
          <w:numId w:val="3"/>
        </w:numPr>
        <w:spacing w:before="12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24D4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Příloha č. 2 – </w:t>
      </w:r>
      <w:r w:rsidRPr="00524D43">
        <w:rPr>
          <w:rFonts w:asciiTheme="minorHAnsi" w:hAnsiTheme="minorHAnsi" w:cstheme="minorHAnsi"/>
          <w:sz w:val="22"/>
          <w:szCs w:val="22"/>
        </w:rPr>
        <w:t>…</w:t>
      </w:r>
    </w:p>
    <w:p w:rsidR="00E90800" w:rsidRPr="00524D43" w:rsidRDefault="00E90800" w:rsidP="00E90800">
      <w:pPr>
        <w:pStyle w:val="slovanseznam"/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24D43">
        <w:rPr>
          <w:rFonts w:asciiTheme="minorHAnsi" w:hAnsiTheme="minorHAnsi" w:cstheme="minorHAnsi"/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</w:t>
      </w:r>
      <w:r w:rsidRPr="00524D43">
        <w:rPr>
          <w:rFonts w:asciiTheme="minorHAnsi" w:hAnsiTheme="minorHAnsi" w:cstheme="minorHAnsi"/>
          <w:sz w:val="22"/>
          <w:szCs w:val="22"/>
        </w:rPr>
        <w:lastRenderedPageBreak/>
        <w:t xml:space="preserve">vymezených případech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vyžaduje vydání rozhodnutí o změně těchto Podmínek, v ostatních vymezených případech dle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ravidel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 je podstatná změna schválena rozhodnutím MV, které je k dispozici v MS2021+. Nepodstatné změny lze provádět bez souhlasu MV. Podrobnosti stanoví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24D43">
        <w:rPr>
          <w:rFonts w:asciiTheme="minorHAnsi" w:hAnsiTheme="minorHAnsi" w:cstheme="minorHAnsi"/>
          <w:sz w:val="22"/>
          <w:szCs w:val="22"/>
        </w:rPr>
        <w:t xml:space="preserve">ravidla </w:t>
      </w:r>
      <w:r>
        <w:rPr>
          <w:rFonts w:asciiTheme="minorHAnsi" w:hAnsiTheme="minorHAnsi" w:cstheme="minorHAnsi"/>
          <w:sz w:val="22"/>
          <w:szCs w:val="22"/>
        </w:rPr>
        <w:t>FEUVV</w:t>
      </w:r>
      <w:r w:rsidRPr="0052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90800" w:rsidRPr="00524D43" w:rsidRDefault="00E90800" w:rsidP="00E90800">
      <w:pPr>
        <w:spacing w:line="276" w:lineRule="auto"/>
        <w:rPr>
          <w:rFonts w:cstheme="minorHAnsi"/>
        </w:rPr>
      </w:pPr>
    </w:p>
    <w:p w:rsidR="00E90800" w:rsidRPr="00524D43" w:rsidRDefault="00E90800" w:rsidP="00E90800">
      <w:pPr>
        <w:ind w:left="4248" w:firstLine="708"/>
        <w:rPr>
          <w:rFonts w:cstheme="minorHAnsi"/>
        </w:rPr>
      </w:pPr>
      <w:r w:rsidRPr="00524D43">
        <w:rPr>
          <w:rFonts w:cstheme="minorHAnsi"/>
        </w:rPr>
        <w:t>………………………………</w:t>
      </w:r>
    </w:p>
    <w:p w:rsidR="00E90800" w:rsidRPr="00524D43" w:rsidRDefault="00E90800" w:rsidP="00E90800">
      <w:pPr>
        <w:spacing w:line="276" w:lineRule="auto"/>
        <w:jc w:val="right"/>
        <w:rPr>
          <w:rFonts w:cstheme="minorHAnsi"/>
        </w:rPr>
      </w:pPr>
      <w:r w:rsidRPr="00524D43">
        <w:rPr>
          <w:rFonts w:cstheme="minorHAnsi"/>
        </w:rPr>
        <w:t>(Uvedení jména a funkce osoby oprávněné vydat podmínky)</w:t>
      </w:r>
    </w:p>
    <w:p w:rsidR="00CC7B0A" w:rsidRDefault="00CC7B0A"/>
    <w:sectPr w:rsidR="00CC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00" w:rsidRDefault="00E90800" w:rsidP="00E90800">
      <w:pPr>
        <w:spacing w:after="0" w:line="240" w:lineRule="auto"/>
      </w:pPr>
      <w:r>
        <w:separator/>
      </w:r>
    </w:p>
  </w:endnote>
  <w:endnote w:type="continuationSeparator" w:id="0">
    <w:p w:rsidR="00E90800" w:rsidRDefault="00E90800" w:rsidP="00E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00" w:rsidRDefault="00E90800" w:rsidP="00E90800">
      <w:pPr>
        <w:spacing w:after="0" w:line="240" w:lineRule="auto"/>
      </w:pPr>
      <w:r>
        <w:separator/>
      </w:r>
    </w:p>
  </w:footnote>
  <w:footnote w:type="continuationSeparator" w:id="0">
    <w:p w:rsidR="00E90800" w:rsidRDefault="00E90800" w:rsidP="00E90800">
      <w:pPr>
        <w:spacing w:after="0" w:line="240" w:lineRule="auto"/>
      </w:pPr>
      <w:r>
        <w:continuationSeparator/>
      </w:r>
    </w:p>
  </w:footnote>
  <w:footnote w:id="1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3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4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558">
        <w:t>Bod 3.</w:t>
      </w:r>
      <w:r>
        <w:t>4</w:t>
      </w:r>
      <w:r w:rsidRPr="00506558">
        <w:t xml:space="preserve"> a 3.</w:t>
      </w:r>
      <w:r>
        <w:t>5</w:t>
      </w:r>
      <w:r w:rsidRPr="00506558">
        <w:t xml:space="preserve"> se použije v případě projektů kombinujících vykazování prostřednictvím přímých a nepřímých nákladů/paušální sazby a jednotkového nákladu.</w:t>
      </w:r>
    </w:p>
  </w:footnote>
  <w:footnote w:id="5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Případně podle zvláštního zákona, pokud zvláštní zákon obsahuje vlastní úpravu vypořádání.</w:t>
      </w:r>
    </w:p>
  </w:footnote>
  <w:footnote w:id="6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7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Ustanovení se použije, pouze pokud má příjemce v projektu alespoň jednoho partnera s finančním příspěvkem.</w:t>
      </w:r>
    </w:p>
  </w:footnote>
  <w:footnote w:id="8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9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0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6908">
        <w:t xml:space="preserve">Zvolte variantu dle výše celkové poskytované </w:t>
      </w:r>
      <w:r>
        <w:t>podpory</w:t>
      </w:r>
      <w:r w:rsidRPr="00956908">
        <w:t xml:space="preserve">. V případě projektů s poskytnutou výší </w:t>
      </w:r>
      <w:r>
        <w:t>podpory do</w:t>
      </w:r>
      <w:r w:rsidRPr="00956908">
        <w:t xml:space="preserve"> 10 mil. Kč včetně je finanční oprava stanovena procentním odvodem. U projektů s celkovou částkou </w:t>
      </w:r>
      <w:r>
        <w:t>podpory</w:t>
      </w:r>
      <w:r w:rsidRPr="00956908">
        <w:t xml:space="preserve"> vyšší než 10 mil. Kč je oprava stanovena pevnou částkou odvodu.</w:t>
      </w:r>
    </w:p>
  </w:footnote>
  <w:footnote w:id="11">
    <w:p w:rsidR="00E90800" w:rsidRDefault="00E90800" w:rsidP="00E90800">
      <w:pPr>
        <w:pStyle w:val="Textpoznpodarou"/>
      </w:pPr>
      <w:r>
        <w:rPr>
          <w:rStyle w:val="Znakapoznpodarou"/>
        </w:rPr>
        <w:footnoteRef/>
      </w:r>
      <w:r>
        <w:t xml:space="preserve"> Platné pouze pro OP AMIF, v případě OP FVB a OP NSHV šedý text odstranit.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7A6"/>
    <w:multiLevelType w:val="multilevel"/>
    <w:tmpl w:val="44B4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712613"/>
    <w:multiLevelType w:val="multilevel"/>
    <w:tmpl w:val="EF24E6D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292929" w:themeColor="accent3" w:themeShade="40"/>
        <w:sz w:val="20"/>
        <w:szCs w:val="20"/>
      </w:rPr>
    </w:lvl>
    <w:lvl w:ilvl="2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auto"/>
        <w:sz w:val="20"/>
        <w:szCs w:val="20"/>
      </w:rPr>
    </w:lvl>
    <w:lvl w:ilvl="3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2382"/>
        </w:tabs>
        <w:ind w:left="2382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419C6"/>
    <w:multiLevelType w:val="hybridMultilevel"/>
    <w:tmpl w:val="142A0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1" w15:restartNumberingAfterBreak="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F72E8"/>
    <w:multiLevelType w:val="multilevel"/>
    <w:tmpl w:val="1BD2C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C0150"/>
    <w:multiLevelType w:val="hybridMultilevel"/>
    <w:tmpl w:val="9B5239DA"/>
    <w:lvl w:ilvl="0" w:tplc="E580F3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0"/>
    <w:rsid w:val="00CC7B0A"/>
    <w:rsid w:val="00E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6D49"/>
  <w15:chartTrackingRefBased/>
  <w15:docId w15:val="{373ABF3F-A858-49BC-A7A7-2339BB0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800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nhideWhenUsed/>
    <w:rsid w:val="00E90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E90800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E9080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9080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E90800"/>
    <w:rPr>
      <w:vertAlign w:val="superscript"/>
    </w:rPr>
  </w:style>
  <w:style w:type="paragraph" w:customStyle="1" w:styleId="Tabulkatext">
    <w:name w:val="Tabulka text"/>
    <w:link w:val="TabulkatextChar"/>
    <w:uiPriority w:val="6"/>
    <w:qFormat/>
    <w:rsid w:val="00E90800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90800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E90800"/>
    <w:rPr>
      <w:color w:val="0563C1" w:themeColor="hyperlink"/>
      <w:u w:val="single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E90800"/>
    <w:pPr>
      <w:spacing w:after="220" w:line="240" w:lineRule="auto"/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E90800"/>
  </w:style>
  <w:style w:type="paragraph" w:styleId="slovanseznam">
    <w:name w:val="List Number"/>
    <w:basedOn w:val="Normln"/>
    <w:uiPriority w:val="99"/>
    <w:rsid w:val="00E9080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text12">
    <w:name w:val="Tabulka text12"/>
    <w:uiPriority w:val="6"/>
    <w:qFormat/>
    <w:rsid w:val="00E90800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Normln"/>
    <w:uiPriority w:val="5"/>
    <w:qFormat/>
    <w:rsid w:val="00E90800"/>
    <w:pPr>
      <w:tabs>
        <w:tab w:val="num" w:pos="1191"/>
      </w:tabs>
      <w:spacing w:after="220" w:line="240" w:lineRule="auto"/>
      <w:ind w:left="1191" w:hanging="39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fondy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fondy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4487</Words>
  <Characters>26475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PŘÍHODA David, PhDr.</dc:creator>
  <cp:keywords/>
  <dc:description/>
  <cp:lastModifiedBy>PŘÍHODA David, PhDr.</cp:lastModifiedBy>
  <cp:revision>1</cp:revision>
  <dcterms:created xsi:type="dcterms:W3CDTF">2023-01-23T15:55:00Z</dcterms:created>
  <dcterms:modified xsi:type="dcterms:W3CDTF">2023-01-23T16:04:00Z</dcterms:modified>
</cp:coreProperties>
</file>