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26" w:rsidRPr="004D6D2B" w:rsidRDefault="00505757" w:rsidP="00505757">
      <w:pPr>
        <w:jc w:val="center"/>
        <w:rPr>
          <w:b/>
          <w:sz w:val="28"/>
          <w:szCs w:val="28"/>
        </w:rPr>
      </w:pPr>
      <w:r w:rsidRPr="004D6D2B">
        <w:rPr>
          <w:b/>
          <w:sz w:val="28"/>
          <w:szCs w:val="28"/>
        </w:rPr>
        <w:t>Zpráva o stavu romské menšiny v ČR za rok 2012</w:t>
      </w:r>
    </w:p>
    <w:p w:rsidR="00505757" w:rsidRDefault="00505757" w:rsidP="00505757">
      <w:pPr>
        <w:jc w:val="both"/>
      </w:pPr>
    </w:p>
    <w:p w:rsidR="00505757" w:rsidRDefault="00505757" w:rsidP="002C63D3">
      <w:pPr>
        <w:spacing w:before="120"/>
        <w:ind w:firstLine="426"/>
        <w:jc w:val="both"/>
      </w:pPr>
      <w:r w:rsidRPr="00505757">
        <w:t xml:space="preserve">Materiál </w:t>
      </w:r>
      <w:r w:rsidR="00E54F7E">
        <w:t>by měl být předložen dle u</w:t>
      </w:r>
      <w:r w:rsidRPr="00505757">
        <w:t xml:space="preserve">snesení vlády ze dne </w:t>
      </w:r>
      <w:r w:rsidR="002C63D3">
        <w:t xml:space="preserve">14. listopadu </w:t>
      </w:r>
      <w:r w:rsidRPr="00505757">
        <w:t>201</w:t>
      </w:r>
      <w:r w:rsidR="002C63D3">
        <w:t>2</w:t>
      </w:r>
      <w:r w:rsidRPr="00505757">
        <w:t xml:space="preserve"> č. </w:t>
      </w:r>
      <w:r w:rsidR="002C63D3">
        <w:t>831</w:t>
      </w:r>
      <w:r w:rsidRPr="00505757">
        <w:t xml:space="preserve"> </w:t>
      </w:r>
      <w:r w:rsidR="00E54F7E">
        <w:t>do</w:t>
      </w:r>
      <w:r w:rsidR="00326625">
        <w:br/>
      </w:r>
      <w:r w:rsidR="00E54F7E">
        <w:t>3</w:t>
      </w:r>
      <w:r w:rsidR="008B4CC9">
        <w:t>0</w:t>
      </w:r>
      <w:r w:rsidR="00E54F7E">
        <w:t xml:space="preserve">. září 2013. </w:t>
      </w:r>
      <w:r w:rsidRPr="00505757">
        <w:t>Cílem dokumentu je zhodnotit vývoj situace Romů v ČR a úspěšnost opatření, která byla uskutečněna v roce 201</w:t>
      </w:r>
      <w:r w:rsidR="002C63D3">
        <w:t>2</w:t>
      </w:r>
      <w:r w:rsidRPr="00505757">
        <w:t xml:space="preserve"> </w:t>
      </w:r>
      <w:r w:rsidR="004D6D2B">
        <w:t xml:space="preserve">k </w:t>
      </w:r>
      <w:r w:rsidR="00536913">
        <w:t>její</w:t>
      </w:r>
      <w:r w:rsidR="004D6D2B">
        <w:t>mu</w:t>
      </w:r>
      <w:r w:rsidR="00536913">
        <w:t xml:space="preserve"> zlepšení. </w:t>
      </w:r>
      <w:r w:rsidRPr="00505757">
        <w:t xml:space="preserve">Záměrem je identifikovat </w:t>
      </w:r>
      <w:r w:rsidR="00E54F7E">
        <w:t>problémy, kterým Romové v</w:t>
      </w:r>
      <w:r w:rsidR="00545248">
        <w:t xml:space="preserve">e sledovaném roce </w:t>
      </w:r>
      <w:r w:rsidR="00E54F7E">
        <w:t xml:space="preserve">čelili, </w:t>
      </w:r>
      <w:r w:rsidRPr="00505757">
        <w:t xml:space="preserve">dílčí úspěchy i neúspěchy </w:t>
      </w:r>
      <w:r w:rsidR="004D6D2B">
        <w:t xml:space="preserve">integrační politiky, </w:t>
      </w:r>
      <w:r w:rsidRPr="00505757">
        <w:t>představit příklady dobré praxe a nastínit rizika dalšího vývoje situace Romů v</w:t>
      </w:r>
      <w:r w:rsidR="00545248">
        <w:t> </w:t>
      </w:r>
      <w:r w:rsidRPr="00505757">
        <w:t>případě</w:t>
      </w:r>
      <w:r w:rsidR="00545248">
        <w:t>, ž</w:t>
      </w:r>
      <w:r w:rsidR="00326625">
        <w:t>e</w:t>
      </w:r>
      <w:r w:rsidR="004D6D2B">
        <w:t xml:space="preserve"> nedojde k řešení jejich </w:t>
      </w:r>
      <w:r w:rsidRPr="00505757">
        <w:t>problémů</w:t>
      </w:r>
      <w:r w:rsidR="00326625">
        <w:t xml:space="preserve">. </w:t>
      </w:r>
      <w:r w:rsidRPr="00505757">
        <w:t>Informace uvedené v materiálu mohou sloužit jako podklad pro rozhodování orgánů státní správy, místní samosprávy i pro širší odbornou</w:t>
      </w:r>
      <w:r w:rsidR="00326625">
        <w:t xml:space="preserve"> </w:t>
      </w:r>
      <w:r w:rsidR="004D6D2B">
        <w:t xml:space="preserve">a veřejnou </w:t>
      </w:r>
      <w:r w:rsidRPr="00505757">
        <w:t xml:space="preserve">diskusi. </w:t>
      </w:r>
    </w:p>
    <w:p w:rsidR="00663DDA" w:rsidRPr="00663DDA" w:rsidRDefault="00663DDA" w:rsidP="00663DDA">
      <w:pPr>
        <w:spacing w:before="120"/>
        <w:ind w:firstLine="426"/>
        <w:jc w:val="both"/>
        <w:rPr>
          <w:i/>
        </w:rPr>
      </w:pPr>
      <w:r w:rsidRPr="00663DDA">
        <w:t>Zpráva vychází z údajů, které pro její zpracování poskytly jednotlivé resorty.</w:t>
      </w:r>
      <w:r w:rsidR="00326625">
        <w:t xml:space="preserve"> </w:t>
      </w:r>
      <w:r w:rsidRPr="00663DDA">
        <w:t xml:space="preserve">Významným zdrojem informací byly výzkumné studie, jejichž poznatky vypovídají o situaci Romů </w:t>
      </w:r>
      <w:r w:rsidR="004D6D2B">
        <w:t xml:space="preserve">v roce </w:t>
      </w:r>
      <w:r w:rsidRPr="00663DDA">
        <w:t>201</w:t>
      </w:r>
      <w:r>
        <w:t>2</w:t>
      </w:r>
      <w:r w:rsidRPr="00663DDA">
        <w:t>. Tyto údaje byly doplněny o informace od hejtmanů jednotlivých krajů, které popisují situaci romské menšiny na krajské a obecní úrovni</w:t>
      </w:r>
      <w:r w:rsidR="00326625">
        <w:t xml:space="preserve">. </w:t>
      </w:r>
    </w:p>
    <w:p w:rsidR="00932D5B" w:rsidRDefault="00505757" w:rsidP="004D6D2B">
      <w:pPr>
        <w:spacing w:before="120"/>
        <w:ind w:firstLine="426"/>
        <w:jc w:val="both"/>
      </w:pPr>
      <w:r w:rsidRPr="00505757">
        <w:t xml:space="preserve">V úvodu Zpráva pojednává o </w:t>
      </w:r>
      <w:r w:rsidR="00E32B99" w:rsidRPr="004D6D2B">
        <w:rPr>
          <w:b/>
          <w:i/>
        </w:rPr>
        <w:t>institucionálním zabezpečení romské integrace</w:t>
      </w:r>
      <w:r w:rsidR="00E32B99">
        <w:t xml:space="preserve"> </w:t>
      </w:r>
      <w:r w:rsidR="004D6D2B">
        <w:br/>
      </w:r>
      <w:r w:rsidRPr="00505757">
        <w:t xml:space="preserve">a aktivitách subjektů, zabývajících se </w:t>
      </w:r>
      <w:r w:rsidR="004D6D2B">
        <w:t>agendou romských záležitostí</w:t>
      </w:r>
      <w:r w:rsidRPr="00505757">
        <w:t xml:space="preserve"> na národní, krajské </w:t>
      </w:r>
      <w:r w:rsidR="004D6D2B">
        <w:br/>
      </w:r>
      <w:r w:rsidRPr="00505757">
        <w:t xml:space="preserve">a lokální úrovni. </w:t>
      </w:r>
      <w:r w:rsidR="00047BFF">
        <w:t>Představuje činnost Rady vlády ČR pro záležitosti romské menšiny</w:t>
      </w:r>
      <w:r w:rsidR="004D6D2B">
        <w:t xml:space="preserve">, jejímiž prioritami </w:t>
      </w:r>
      <w:r w:rsidR="009D7F50">
        <w:t>byl</w:t>
      </w:r>
      <w:r w:rsidR="008929C5">
        <w:t>y</w:t>
      </w:r>
      <w:r w:rsidR="006514F8">
        <w:t xml:space="preserve"> </w:t>
      </w:r>
      <w:r w:rsidR="00E54F7E">
        <w:t>v roce 2012</w:t>
      </w:r>
      <w:r w:rsidR="004D6D2B">
        <w:t xml:space="preserve"> </w:t>
      </w:r>
      <w:r w:rsidR="00663DDA">
        <w:t xml:space="preserve">zvýšení vzdělanostních šancí Romů, </w:t>
      </w:r>
      <w:r w:rsidR="00326625">
        <w:t xml:space="preserve">zmírnění </w:t>
      </w:r>
      <w:r w:rsidR="00663DDA">
        <w:t>dopad</w:t>
      </w:r>
      <w:r w:rsidR="00326625">
        <w:t>ů</w:t>
      </w:r>
      <w:r w:rsidR="00663DDA">
        <w:t xml:space="preserve"> úsporných opatření na </w:t>
      </w:r>
      <w:r w:rsidR="00326625">
        <w:t xml:space="preserve">jejich </w:t>
      </w:r>
      <w:r w:rsidR="00663DDA">
        <w:t>situaci</w:t>
      </w:r>
      <w:r w:rsidR="00326625">
        <w:t xml:space="preserve">, </w:t>
      </w:r>
      <w:r w:rsidR="00663DDA">
        <w:t>bezpečnostní situac</w:t>
      </w:r>
      <w:r w:rsidR="009D7F50">
        <w:t>e</w:t>
      </w:r>
      <w:r w:rsidR="00663DDA">
        <w:t xml:space="preserve"> romské menšiny v souvislosti se sociálním napětím v některých regionech. </w:t>
      </w:r>
    </w:p>
    <w:p w:rsidR="00663DDA" w:rsidRDefault="00932D5B" w:rsidP="004D6D2B">
      <w:pPr>
        <w:spacing w:before="120"/>
        <w:ind w:firstLine="426"/>
        <w:jc w:val="both"/>
      </w:pPr>
      <w:r>
        <w:t xml:space="preserve">Materiál </w:t>
      </w:r>
      <w:r w:rsidR="00663DDA">
        <w:t xml:space="preserve">popisuje aktivity </w:t>
      </w:r>
      <w:r w:rsidR="00047BFF">
        <w:t xml:space="preserve">krajských koordinátorů pro romské záležitosti působících při krajských úřadech a romských poradců </w:t>
      </w:r>
      <w:r>
        <w:t xml:space="preserve">pracujících při obecních úřadech </w:t>
      </w:r>
      <w:r w:rsidR="00047BFF">
        <w:t xml:space="preserve">obcí s rozšířenou působnosti. Zabývá se </w:t>
      </w:r>
      <w:r w:rsidR="00EE4784">
        <w:t xml:space="preserve">i </w:t>
      </w:r>
      <w:r w:rsidR="00047BFF">
        <w:t>překážkami, kter</w:t>
      </w:r>
      <w:r w:rsidR="00E54F7E">
        <w:t>ým tito pracovníci čel</w:t>
      </w:r>
      <w:r>
        <w:t xml:space="preserve">í </w:t>
      </w:r>
      <w:r w:rsidR="00047BFF">
        <w:t>při řešení agendy romských záležitostí, kdy největšími bariérami j</w:t>
      </w:r>
      <w:r w:rsidR="00EE4784">
        <w:t xml:space="preserve">sou </w:t>
      </w:r>
      <w:r w:rsidR="00047BFF">
        <w:t xml:space="preserve">výkon kumulovaných funkcí, </w:t>
      </w:r>
      <w:r>
        <w:t>když agendu</w:t>
      </w:r>
      <w:r w:rsidR="00047BFF">
        <w:t xml:space="preserve"> romských záležitostí </w:t>
      </w:r>
      <w:r>
        <w:t xml:space="preserve">řeší s </w:t>
      </w:r>
      <w:r w:rsidR="00047BFF">
        <w:t xml:space="preserve">jinou </w:t>
      </w:r>
      <w:r>
        <w:t xml:space="preserve">mnohdy </w:t>
      </w:r>
      <w:r w:rsidR="00E54F7E">
        <w:t xml:space="preserve">nesouvisející </w:t>
      </w:r>
      <w:r w:rsidR="00047BFF">
        <w:t>agend</w:t>
      </w:r>
      <w:r>
        <w:t>ou. D</w:t>
      </w:r>
      <w:r w:rsidR="00EE4784">
        <w:t xml:space="preserve">ále </w:t>
      </w:r>
      <w:r>
        <w:t xml:space="preserve">jejich </w:t>
      </w:r>
      <w:r w:rsidR="00EE3167">
        <w:t xml:space="preserve">nejednotné </w:t>
      </w:r>
      <w:r w:rsidR="00EE4784">
        <w:t xml:space="preserve">zařazení do </w:t>
      </w:r>
      <w:r w:rsidR="00EE3167">
        <w:t>organizační struktu</w:t>
      </w:r>
      <w:r w:rsidR="00EE4784">
        <w:t xml:space="preserve">ry </w:t>
      </w:r>
      <w:r w:rsidR="00EE3167">
        <w:t>úřad</w:t>
      </w:r>
      <w:r w:rsidR="00EE4784">
        <w:t>ů</w:t>
      </w:r>
      <w:r w:rsidR="00EE3167">
        <w:t xml:space="preserve">, které </w:t>
      </w:r>
      <w:r w:rsidR="00EE4784">
        <w:t xml:space="preserve">komplikuje jejich metodické vedení, </w:t>
      </w:r>
      <w:r w:rsidR="00EE3167">
        <w:t xml:space="preserve">brání </w:t>
      </w:r>
      <w:r w:rsidR="00EE4784">
        <w:t xml:space="preserve">jim </w:t>
      </w:r>
      <w:r w:rsidR="00EE3167">
        <w:t>efektivně komunikovat s dalšími důležitými odbory napříč úřadem</w:t>
      </w:r>
      <w:r>
        <w:t xml:space="preserve"> a uplatnit tak komplexní přístup při řešení </w:t>
      </w:r>
      <w:r w:rsidR="00EE4784">
        <w:t xml:space="preserve">situace </w:t>
      </w:r>
      <w:r>
        <w:t>Romů</w:t>
      </w:r>
      <w:r w:rsidR="00EE3167">
        <w:t xml:space="preserve">. </w:t>
      </w:r>
      <w:r>
        <w:t xml:space="preserve">Komplikací je i </w:t>
      </w:r>
      <w:r w:rsidR="00EE3167">
        <w:t xml:space="preserve">roztříštění sítě romských poradců, jejichž počet v ČR </w:t>
      </w:r>
      <w:r>
        <w:t xml:space="preserve">neustále </w:t>
      </w:r>
      <w:r w:rsidR="00EE3167">
        <w:t xml:space="preserve">klesá. Na úrovni obcí chybí </w:t>
      </w:r>
      <w:r w:rsidR="00E54F7E">
        <w:t xml:space="preserve">krajským koordinátorům </w:t>
      </w:r>
      <w:r w:rsidR="00EE3167">
        <w:t xml:space="preserve">styčné osoby, které by </w:t>
      </w:r>
      <w:r w:rsidR="00E54F7E">
        <w:t xml:space="preserve">jim </w:t>
      </w:r>
      <w:r w:rsidR="00EE4784">
        <w:t xml:space="preserve">měly </w:t>
      </w:r>
      <w:r w:rsidR="00EE3167">
        <w:t>pomáh</w:t>
      </w:r>
      <w:r w:rsidR="00EE4784">
        <w:t xml:space="preserve">at </w:t>
      </w:r>
      <w:r w:rsidR="00EE3167">
        <w:t xml:space="preserve">koordinovat plnění státní politiky romské integrace na místní úrovni (163 </w:t>
      </w:r>
      <w:r w:rsidR="000D3090">
        <w:t>poradců v roce 2012</w:t>
      </w:r>
      <w:r w:rsidR="00E54F7E">
        <w:t xml:space="preserve">, </w:t>
      </w:r>
      <w:r w:rsidR="00EE4784">
        <w:t xml:space="preserve">průměrná výše jejich úvazku na agendu romských záležitostí je však 0,2, </w:t>
      </w:r>
      <w:r w:rsidR="00E54F7E">
        <w:t>přitom obcí s rozšířenou působností je</w:t>
      </w:r>
      <w:r w:rsidR="00326625">
        <w:t xml:space="preserve"> asi 205). </w:t>
      </w:r>
      <w:r w:rsidR="00663DDA">
        <w:t xml:space="preserve">Výraznou překážkou je i neochota obcí realizovat politiku romské integrace. </w:t>
      </w:r>
    </w:p>
    <w:p w:rsidR="00EE3167" w:rsidRDefault="00932D5B" w:rsidP="004D6D2B">
      <w:pPr>
        <w:spacing w:before="120"/>
        <w:ind w:firstLine="426"/>
        <w:jc w:val="both"/>
      </w:pPr>
      <w:r>
        <w:t xml:space="preserve">V další kapitole se </w:t>
      </w:r>
      <w:r w:rsidR="00663DDA">
        <w:t>Zp</w:t>
      </w:r>
      <w:r w:rsidR="00EE3167">
        <w:t xml:space="preserve">ráva zabývá </w:t>
      </w:r>
      <w:r w:rsidR="000D3090" w:rsidRPr="004D6D2B">
        <w:rPr>
          <w:b/>
          <w:i/>
        </w:rPr>
        <w:t>financováním romské integrace</w:t>
      </w:r>
      <w:r w:rsidR="00EE4784">
        <w:rPr>
          <w:b/>
        </w:rPr>
        <w:t xml:space="preserve">. </w:t>
      </w:r>
      <w:r w:rsidR="00EE4784" w:rsidRPr="00F837E6">
        <w:t>V</w:t>
      </w:r>
      <w:r w:rsidR="00EE4784">
        <w:t xml:space="preserve"> </w:t>
      </w:r>
      <w:r w:rsidR="000D3090">
        <w:t>roce 2012 byla ve prospěch Romů přerozdělena částka 73.006.750,-</w:t>
      </w:r>
      <w:r w:rsidR="008F640B">
        <w:t>,</w:t>
      </w:r>
      <w:r w:rsidR="000D3090">
        <w:t xml:space="preserve"> </w:t>
      </w:r>
      <w:r w:rsidR="008F640B">
        <w:t xml:space="preserve">což je nejméně za posledních 8 let. </w:t>
      </w:r>
    </w:p>
    <w:p w:rsidR="007F2CAE" w:rsidRPr="004D6D2B" w:rsidRDefault="000D3090" w:rsidP="004D6D2B">
      <w:pPr>
        <w:spacing w:before="120"/>
        <w:jc w:val="both"/>
        <w:rPr>
          <w:bCs/>
          <w:sz w:val="22"/>
          <w:szCs w:val="22"/>
        </w:rPr>
      </w:pPr>
      <w:r w:rsidRPr="004D6D2B">
        <w:rPr>
          <w:bCs/>
          <w:sz w:val="22"/>
          <w:szCs w:val="22"/>
        </w:rPr>
        <w:t xml:space="preserve">Tab. Přehled výdajů na oblast romské integrace za posledních 5 let </w:t>
      </w:r>
    </w:p>
    <w:tbl>
      <w:tblPr>
        <w:tblpPr w:leftFromText="141" w:rightFromText="141" w:vertAnchor="text" w:horzAnchor="margin" w:tblpX="216" w:tblpY="52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1559"/>
        <w:gridCol w:w="1418"/>
        <w:gridCol w:w="1417"/>
        <w:gridCol w:w="1418"/>
      </w:tblGrid>
      <w:tr w:rsidR="008F640B" w:rsidRPr="007F2CAE" w:rsidTr="004D6D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090" w:rsidRPr="004D6D2B" w:rsidRDefault="000D3090" w:rsidP="004D6D2B">
            <w:pPr>
              <w:ind w:hanging="1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D6D2B">
              <w:rPr>
                <w:b/>
                <w:bCs/>
                <w:sz w:val="22"/>
                <w:szCs w:val="22"/>
                <w:lang w:val="en-US"/>
              </w:rPr>
              <w:t>Resort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090" w:rsidRPr="004D6D2B" w:rsidRDefault="000D3090" w:rsidP="004D6D2B">
            <w:pPr>
              <w:ind w:hanging="33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D6D2B">
              <w:rPr>
                <w:b/>
                <w:bCs/>
                <w:sz w:val="22"/>
                <w:szCs w:val="22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090" w:rsidRPr="004D6D2B" w:rsidRDefault="000D3090" w:rsidP="004D6D2B">
            <w:pPr>
              <w:ind w:hanging="34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D6D2B">
              <w:rPr>
                <w:b/>
                <w:bCs/>
                <w:sz w:val="22"/>
                <w:szCs w:val="22"/>
                <w:lang w:val="en-US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090" w:rsidRPr="004D6D2B" w:rsidRDefault="000D3090" w:rsidP="004D6D2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D6D2B">
              <w:rPr>
                <w:b/>
                <w:bCs/>
                <w:sz w:val="22"/>
                <w:szCs w:val="22"/>
                <w:lang w:val="en-US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090" w:rsidRPr="004D6D2B" w:rsidRDefault="000D3090" w:rsidP="004D6D2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D6D2B">
              <w:rPr>
                <w:b/>
                <w:bCs/>
                <w:sz w:val="22"/>
                <w:szCs w:val="22"/>
                <w:lang w:val="en-US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090" w:rsidRPr="004D6D2B" w:rsidRDefault="000D3090" w:rsidP="004D6D2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D6D2B">
              <w:rPr>
                <w:b/>
                <w:bCs/>
                <w:sz w:val="22"/>
                <w:szCs w:val="22"/>
                <w:lang w:val="en-US"/>
              </w:rPr>
              <w:t>2012</w:t>
            </w:r>
          </w:p>
        </w:tc>
      </w:tr>
      <w:tr w:rsidR="008F640B" w:rsidRPr="007F2CAE" w:rsidTr="004D6D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ind w:hanging="1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4D6D2B">
              <w:rPr>
                <w:b/>
                <w:bCs/>
                <w:sz w:val="22"/>
                <w:szCs w:val="22"/>
                <w:lang w:val="en-US"/>
              </w:rPr>
              <w:t>MŠMT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ind w:hanging="33"/>
              <w:jc w:val="both"/>
              <w:rPr>
                <w:bCs/>
                <w:sz w:val="22"/>
                <w:szCs w:val="22"/>
                <w:lang w:val="en-US"/>
              </w:rPr>
            </w:pPr>
            <w:r w:rsidRPr="004D6D2B">
              <w:rPr>
                <w:bCs/>
                <w:sz w:val="22"/>
                <w:szCs w:val="22"/>
                <w:lang w:val="en-US"/>
              </w:rPr>
              <w:t>25.519.400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ind w:hanging="34"/>
              <w:jc w:val="both"/>
              <w:rPr>
                <w:bCs/>
                <w:sz w:val="22"/>
                <w:szCs w:val="22"/>
                <w:lang w:val="en-US"/>
              </w:rPr>
            </w:pPr>
            <w:r w:rsidRPr="004D6D2B">
              <w:rPr>
                <w:bCs/>
                <w:sz w:val="22"/>
                <w:szCs w:val="22"/>
                <w:lang w:val="en-US"/>
              </w:rPr>
              <w:t>55.147.700,-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4D6D2B">
              <w:rPr>
                <w:bCs/>
                <w:sz w:val="22"/>
                <w:szCs w:val="22"/>
                <w:lang w:val="en-US"/>
              </w:rPr>
              <w:t xml:space="preserve">17.149.400,-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4D6D2B">
              <w:rPr>
                <w:bCs/>
                <w:sz w:val="22"/>
                <w:szCs w:val="22"/>
                <w:lang w:val="en-US"/>
              </w:rPr>
              <w:t>21.733.000,-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90" w:rsidRPr="004D6D2B" w:rsidRDefault="000D3090" w:rsidP="004D6D2B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4D6D2B">
              <w:rPr>
                <w:bCs/>
                <w:sz w:val="22"/>
                <w:szCs w:val="22"/>
                <w:lang w:val="en-US"/>
              </w:rPr>
              <w:t>20.360.672,-</w:t>
            </w:r>
          </w:p>
        </w:tc>
      </w:tr>
      <w:tr w:rsidR="008F640B" w:rsidRPr="007F2CAE" w:rsidTr="004D6D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ind w:hanging="1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4D6D2B">
              <w:rPr>
                <w:b/>
                <w:bCs/>
                <w:sz w:val="22"/>
                <w:szCs w:val="22"/>
                <w:lang w:val="en-US"/>
              </w:rPr>
              <w:t>MK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ind w:hanging="33"/>
              <w:jc w:val="both"/>
              <w:rPr>
                <w:bCs/>
                <w:sz w:val="22"/>
                <w:szCs w:val="22"/>
                <w:lang w:val="en-US"/>
              </w:rPr>
            </w:pPr>
            <w:r w:rsidRPr="004D6D2B">
              <w:rPr>
                <w:bCs/>
                <w:sz w:val="22"/>
                <w:szCs w:val="22"/>
                <w:lang w:val="en-US"/>
              </w:rPr>
              <w:t>20.525.760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ind w:hanging="34"/>
              <w:jc w:val="both"/>
              <w:rPr>
                <w:bCs/>
                <w:sz w:val="22"/>
                <w:szCs w:val="22"/>
                <w:lang w:val="en-US"/>
              </w:rPr>
            </w:pPr>
            <w:r w:rsidRPr="004D6D2B">
              <w:rPr>
                <w:bCs/>
                <w:sz w:val="22"/>
                <w:szCs w:val="22"/>
                <w:lang w:val="en-US"/>
              </w:rPr>
              <w:t xml:space="preserve">43.287.524,-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4D6D2B">
              <w:rPr>
                <w:bCs/>
                <w:sz w:val="22"/>
                <w:szCs w:val="22"/>
                <w:lang w:val="en-US"/>
              </w:rPr>
              <w:t>17.364.935-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4D6D2B">
              <w:rPr>
                <w:bCs/>
                <w:sz w:val="22"/>
                <w:szCs w:val="22"/>
                <w:lang w:val="en-US"/>
              </w:rPr>
              <w:t>19.937.350,-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90" w:rsidRPr="004D6D2B" w:rsidRDefault="000D3090" w:rsidP="004D6D2B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4D6D2B">
              <w:rPr>
                <w:bCs/>
                <w:sz w:val="22"/>
                <w:szCs w:val="22"/>
                <w:lang w:val="en-US"/>
              </w:rPr>
              <w:t>16.102.750,-</w:t>
            </w:r>
          </w:p>
        </w:tc>
      </w:tr>
      <w:tr w:rsidR="008F640B" w:rsidRPr="007F2CAE" w:rsidTr="004D6D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ind w:hanging="1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4D6D2B">
              <w:rPr>
                <w:b/>
                <w:bCs/>
                <w:sz w:val="22"/>
                <w:szCs w:val="22"/>
                <w:lang w:val="en-US"/>
              </w:rPr>
              <w:t>MPSV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ind w:hanging="33"/>
              <w:jc w:val="both"/>
              <w:rPr>
                <w:bCs/>
                <w:sz w:val="22"/>
                <w:szCs w:val="22"/>
                <w:lang w:val="en-US"/>
              </w:rPr>
            </w:pPr>
            <w:r w:rsidRPr="004D6D2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ind w:hanging="34"/>
              <w:jc w:val="both"/>
              <w:rPr>
                <w:bCs/>
                <w:sz w:val="22"/>
                <w:szCs w:val="22"/>
                <w:lang w:val="en-US"/>
              </w:rPr>
            </w:pPr>
            <w:r w:rsidRPr="004D6D2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4D6D2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4D6D2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90" w:rsidRPr="004D6D2B" w:rsidRDefault="000D3090" w:rsidP="004D6D2B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4D6D2B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8F640B" w:rsidRPr="007F2CAE" w:rsidTr="004D6D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ind w:hanging="1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4D6D2B">
              <w:rPr>
                <w:b/>
                <w:bCs/>
                <w:sz w:val="22"/>
                <w:szCs w:val="22"/>
                <w:lang w:val="en-US"/>
              </w:rPr>
              <w:t>MV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ind w:hanging="33"/>
              <w:jc w:val="both"/>
              <w:rPr>
                <w:bCs/>
                <w:sz w:val="22"/>
                <w:szCs w:val="22"/>
                <w:lang w:val="en-US"/>
              </w:rPr>
            </w:pPr>
            <w:r w:rsidRPr="004D6D2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ind w:hanging="34"/>
              <w:jc w:val="both"/>
              <w:rPr>
                <w:bCs/>
                <w:sz w:val="22"/>
                <w:szCs w:val="22"/>
                <w:lang w:val="en-US"/>
              </w:rPr>
            </w:pPr>
            <w:r w:rsidRPr="004D6D2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4D6D2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4D6D2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90" w:rsidRPr="004D6D2B" w:rsidRDefault="000D3090" w:rsidP="004D6D2B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4D6D2B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8F640B" w:rsidRPr="007F2CAE" w:rsidTr="004D6D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ind w:hanging="1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4D6D2B">
              <w:rPr>
                <w:b/>
                <w:bCs/>
                <w:sz w:val="22"/>
                <w:szCs w:val="22"/>
                <w:lang w:val="en-US"/>
              </w:rPr>
              <w:t>VPS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ind w:hanging="33"/>
              <w:jc w:val="both"/>
              <w:rPr>
                <w:bCs/>
                <w:sz w:val="22"/>
                <w:szCs w:val="22"/>
                <w:lang w:val="en-US"/>
              </w:rPr>
            </w:pPr>
            <w:r w:rsidRPr="004D6D2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ind w:hanging="34"/>
              <w:jc w:val="both"/>
              <w:rPr>
                <w:bCs/>
                <w:sz w:val="22"/>
                <w:szCs w:val="22"/>
                <w:lang w:val="en-US"/>
              </w:rPr>
            </w:pPr>
            <w:r w:rsidRPr="004D6D2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4D6D2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4D6D2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90" w:rsidRPr="004D6D2B" w:rsidRDefault="000D3090" w:rsidP="004D6D2B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4D6D2B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8F640B" w:rsidRPr="007F2CAE" w:rsidTr="004D6D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ind w:hanging="1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4D6D2B">
              <w:rPr>
                <w:b/>
                <w:bCs/>
                <w:sz w:val="22"/>
                <w:szCs w:val="22"/>
                <w:lang w:val="en-US"/>
              </w:rPr>
              <w:t>MMR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ind w:hanging="33"/>
              <w:jc w:val="both"/>
              <w:rPr>
                <w:bCs/>
                <w:sz w:val="22"/>
                <w:szCs w:val="22"/>
                <w:lang w:val="en-US"/>
              </w:rPr>
            </w:pPr>
            <w:r w:rsidRPr="004D6D2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ind w:hanging="34"/>
              <w:jc w:val="both"/>
              <w:rPr>
                <w:bCs/>
                <w:sz w:val="22"/>
                <w:szCs w:val="22"/>
                <w:lang w:val="en-US"/>
              </w:rPr>
            </w:pPr>
            <w:r w:rsidRPr="004D6D2B">
              <w:rPr>
                <w:bCs/>
                <w:sz w:val="22"/>
                <w:szCs w:val="22"/>
                <w:lang w:val="en-US"/>
              </w:rPr>
              <w:t>1.704.000,-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4D6D2B">
              <w:rPr>
                <w:bCs/>
                <w:sz w:val="22"/>
                <w:szCs w:val="22"/>
                <w:lang w:val="en-US"/>
              </w:rPr>
              <w:t>2.894.642,-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4D6D2B">
              <w:rPr>
                <w:bCs/>
                <w:sz w:val="22"/>
                <w:szCs w:val="22"/>
                <w:lang w:val="en-US"/>
              </w:rPr>
              <w:t>1.403.405,-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90" w:rsidRPr="004D6D2B" w:rsidRDefault="000D3090" w:rsidP="004D6D2B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4D6D2B">
              <w:rPr>
                <w:bCs/>
                <w:sz w:val="22"/>
                <w:szCs w:val="22"/>
                <w:lang w:val="en-US"/>
              </w:rPr>
              <w:t xml:space="preserve">869.000,- </w:t>
            </w:r>
          </w:p>
        </w:tc>
      </w:tr>
      <w:tr w:rsidR="008F640B" w:rsidRPr="007F2CAE" w:rsidTr="004D6D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ind w:hanging="1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4D6D2B">
              <w:rPr>
                <w:b/>
                <w:bCs/>
                <w:sz w:val="22"/>
                <w:szCs w:val="22"/>
                <w:lang w:val="en-US"/>
              </w:rPr>
              <w:t>ÚV ČR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ind w:hanging="33"/>
              <w:jc w:val="both"/>
              <w:rPr>
                <w:bCs/>
                <w:sz w:val="22"/>
                <w:szCs w:val="22"/>
                <w:lang w:val="en-US"/>
              </w:rPr>
            </w:pPr>
            <w:r w:rsidRPr="004D6D2B">
              <w:rPr>
                <w:bCs/>
                <w:sz w:val="22"/>
                <w:szCs w:val="22"/>
                <w:lang w:val="en-US"/>
              </w:rPr>
              <w:t>71.648.530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ind w:hanging="34"/>
              <w:jc w:val="both"/>
              <w:rPr>
                <w:bCs/>
                <w:sz w:val="22"/>
                <w:szCs w:val="22"/>
                <w:lang w:val="en-US"/>
              </w:rPr>
            </w:pPr>
            <w:r w:rsidRPr="004D6D2B">
              <w:rPr>
                <w:bCs/>
                <w:sz w:val="22"/>
                <w:szCs w:val="22"/>
                <w:lang w:val="en-US"/>
              </w:rPr>
              <w:t>55.244.054,-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4D6D2B">
              <w:rPr>
                <w:bCs/>
                <w:sz w:val="22"/>
                <w:szCs w:val="22"/>
                <w:lang w:val="en-US"/>
              </w:rPr>
              <w:t>49.302.221,-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4D6D2B">
              <w:rPr>
                <w:bCs/>
                <w:sz w:val="22"/>
                <w:szCs w:val="22"/>
                <w:lang w:val="en-US"/>
              </w:rPr>
              <w:t>41.955.523,-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90" w:rsidRPr="004D6D2B" w:rsidRDefault="000D3090" w:rsidP="004D6D2B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4D6D2B">
              <w:rPr>
                <w:bCs/>
                <w:sz w:val="22"/>
                <w:szCs w:val="22"/>
                <w:lang w:val="en-US"/>
              </w:rPr>
              <w:t xml:space="preserve">35.674.328,- </w:t>
            </w:r>
          </w:p>
        </w:tc>
      </w:tr>
      <w:tr w:rsidR="008F640B" w:rsidRPr="007F2CAE" w:rsidTr="004D6D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ind w:hanging="1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4D6D2B">
              <w:rPr>
                <w:b/>
                <w:bCs/>
                <w:sz w:val="22"/>
                <w:szCs w:val="22"/>
                <w:lang w:val="en-US"/>
              </w:rPr>
              <w:t>Celkem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ind w:hanging="33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4D6D2B">
              <w:rPr>
                <w:b/>
                <w:bCs/>
                <w:sz w:val="22"/>
                <w:szCs w:val="22"/>
                <w:lang w:val="en-US"/>
              </w:rPr>
              <w:t>117.693.690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ind w:hanging="3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4D6D2B">
              <w:rPr>
                <w:b/>
                <w:bCs/>
                <w:sz w:val="22"/>
                <w:szCs w:val="22"/>
                <w:lang w:val="en-US"/>
              </w:rPr>
              <w:t>155.383.278,-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4D6D2B">
              <w:rPr>
                <w:b/>
                <w:bCs/>
                <w:sz w:val="22"/>
                <w:szCs w:val="22"/>
                <w:lang w:val="en-US"/>
              </w:rPr>
              <w:t>86.711.198,-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0" w:rsidRPr="004D6D2B" w:rsidRDefault="000D3090" w:rsidP="004D6D2B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4D6D2B">
              <w:rPr>
                <w:b/>
                <w:bCs/>
                <w:sz w:val="22"/>
                <w:szCs w:val="22"/>
                <w:lang w:val="en-US"/>
              </w:rPr>
              <w:t>85.029.278,-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90" w:rsidRPr="004D6D2B" w:rsidRDefault="000D3090" w:rsidP="004D6D2B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4D6D2B">
              <w:rPr>
                <w:b/>
                <w:bCs/>
                <w:sz w:val="22"/>
                <w:szCs w:val="22"/>
                <w:lang w:val="en-US"/>
              </w:rPr>
              <w:t xml:space="preserve">73.006.750,- </w:t>
            </w:r>
          </w:p>
        </w:tc>
      </w:tr>
    </w:tbl>
    <w:p w:rsidR="000D3090" w:rsidRDefault="000D3090" w:rsidP="004D6D2B">
      <w:pPr>
        <w:spacing w:before="120"/>
        <w:ind w:firstLine="426"/>
        <w:jc w:val="both"/>
      </w:pPr>
    </w:p>
    <w:p w:rsidR="000D3090" w:rsidRDefault="000D3090" w:rsidP="004D6D2B">
      <w:pPr>
        <w:spacing w:before="120"/>
        <w:ind w:firstLine="426"/>
        <w:jc w:val="both"/>
      </w:pPr>
    </w:p>
    <w:p w:rsidR="000D3090" w:rsidRDefault="000D3090" w:rsidP="004D6D2B">
      <w:pPr>
        <w:spacing w:before="120"/>
        <w:ind w:firstLine="426"/>
        <w:jc w:val="both"/>
      </w:pPr>
    </w:p>
    <w:p w:rsidR="000D3090" w:rsidRDefault="000D3090" w:rsidP="004D6D2B">
      <w:pPr>
        <w:spacing w:before="120"/>
        <w:ind w:firstLine="426"/>
        <w:jc w:val="both"/>
      </w:pPr>
    </w:p>
    <w:p w:rsidR="000D3090" w:rsidRDefault="000D3090" w:rsidP="004D6D2B">
      <w:pPr>
        <w:spacing w:before="120"/>
        <w:ind w:firstLine="426"/>
        <w:jc w:val="both"/>
      </w:pPr>
    </w:p>
    <w:p w:rsidR="000D3090" w:rsidRDefault="000D3090" w:rsidP="004D6D2B">
      <w:pPr>
        <w:spacing w:before="120"/>
        <w:ind w:firstLine="426"/>
        <w:jc w:val="both"/>
      </w:pPr>
    </w:p>
    <w:p w:rsidR="007F2CAE" w:rsidRDefault="007F2CAE" w:rsidP="004D6D2B">
      <w:pPr>
        <w:spacing w:before="120"/>
        <w:ind w:firstLine="426"/>
        <w:jc w:val="both"/>
      </w:pPr>
    </w:p>
    <w:p w:rsidR="00E54F7E" w:rsidRDefault="00505757" w:rsidP="004D6D2B">
      <w:pPr>
        <w:spacing w:before="120"/>
        <w:ind w:firstLine="426"/>
        <w:jc w:val="both"/>
      </w:pPr>
      <w:r w:rsidRPr="00505757">
        <w:lastRenderedPageBreak/>
        <w:t xml:space="preserve">Na část </w:t>
      </w:r>
      <w:r w:rsidR="008F640B">
        <w:t xml:space="preserve">zabývající se financováním navazují </w:t>
      </w:r>
      <w:r w:rsidRPr="00505757">
        <w:t>kapitoly věnované dílčím tématům romské integrace, tj. oblast</w:t>
      </w:r>
      <w:r w:rsidR="008F640B">
        <w:t>í</w:t>
      </w:r>
      <w:r w:rsidRPr="00505757">
        <w:t xml:space="preserve"> podpory a rozvoje romské kultury a jazyka, vzdělávání</w:t>
      </w:r>
      <w:r w:rsidR="00385499">
        <w:t>m</w:t>
      </w:r>
      <w:r w:rsidRPr="00505757">
        <w:t xml:space="preserve"> a zaměstnanost</w:t>
      </w:r>
      <w:r w:rsidR="00385499">
        <w:t>í</w:t>
      </w:r>
      <w:r w:rsidRPr="00505757">
        <w:t>, bydlení</w:t>
      </w:r>
      <w:r w:rsidR="00385499">
        <w:t>m</w:t>
      </w:r>
      <w:r w:rsidR="00782C7B">
        <w:t xml:space="preserve">, </w:t>
      </w:r>
      <w:r w:rsidRPr="00505757">
        <w:t>zdraví</w:t>
      </w:r>
      <w:r w:rsidR="00385499">
        <w:t>m</w:t>
      </w:r>
      <w:r w:rsidRPr="00505757">
        <w:t>, sociální</w:t>
      </w:r>
      <w:r w:rsidR="00782C7B">
        <w:t xml:space="preserve"> oblastí </w:t>
      </w:r>
      <w:r w:rsidRPr="00505757">
        <w:t>a bezpečnost</w:t>
      </w:r>
      <w:r w:rsidR="00385499">
        <w:t>í</w:t>
      </w:r>
      <w:r w:rsidRPr="00505757">
        <w:t xml:space="preserve">. Materiál představuje </w:t>
      </w:r>
      <w:r w:rsidR="00EE4784">
        <w:t xml:space="preserve">v závěru </w:t>
      </w:r>
      <w:r w:rsidRPr="00505757">
        <w:t xml:space="preserve">zapojení ČR do mezinárodních iniciativ zaměřených na podporu integrace Romů. </w:t>
      </w:r>
    </w:p>
    <w:p w:rsidR="00505757" w:rsidRDefault="00E54F7E" w:rsidP="004D6D2B">
      <w:pPr>
        <w:spacing w:before="120"/>
        <w:ind w:firstLine="426"/>
        <w:jc w:val="both"/>
      </w:pPr>
      <w:r>
        <w:t>V oblasti kultury poukazuje na problém nepřijetí romské kultury ze strany většinové společnosti, dále na postupující akulturaci a jazykovou asimilaci, zejména u mladších generací Romů, které postupem času ztrác</w:t>
      </w:r>
      <w:r w:rsidR="00EE4784">
        <w:t>ej</w:t>
      </w:r>
      <w:r>
        <w:t xml:space="preserve">í kontakt s vlastní kulturou a tradicemi. </w:t>
      </w:r>
      <w:r w:rsidR="00EE4784">
        <w:t xml:space="preserve">Představuje </w:t>
      </w:r>
      <w:r>
        <w:t xml:space="preserve">aktivity Muzea romské kultury v roce 2012, pokrok v úpravě pietních míst v Letech u Písku a v Hodoníně </w:t>
      </w:r>
      <w:r w:rsidR="00663DDA">
        <w:t xml:space="preserve">u Kunštátu, aktivity Semináře </w:t>
      </w:r>
      <w:proofErr w:type="spellStart"/>
      <w:r w:rsidR="00663DDA">
        <w:t>romistiky</w:t>
      </w:r>
      <w:proofErr w:type="spellEnd"/>
      <w:r w:rsidR="00663DDA">
        <w:t xml:space="preserve"> Filozofické fakulty Karlovy univerzity. </w:t>
      </w:r>
      <w:r>
        <w:t xml:space="preserve"> </w:t>
      </w:r>
    </w:p>
    <w:p w:rsidR="00782C7B" w:rsidRDefault="00D22184" w:rsidP="004D6D2B">
      <w:pPr>
        <w:spacing w:before="120"/>
        <w:ind w:firstLine="425"/>
        <w:jc w:val="both"/>
      </w:pPr>
      <w:r>
        <w:t>Zpráva se d</w:t>
      </w:r>
      <w:r w:rsidR="00385499">
        <w:t xml:space="preserve">etailně zabývá </w:t>
      </w:r>
      <w:r w:rsidR="00385499" w:rsidRPr="004D6D2B">
        <w:rPr>
          <w:b/>
          <w:i/>
        </w:rPr>
        <w:t>oblastí vzdělávání</w:t>
      </w:r>
      <w:r w:rsidR="00385499">
        <w:t xml:space="preserve"> a hodnotí, zda po 5 letech od vynesení rozsudku Evropského soudu pro lidská práva ve věci </w:t>
      </w:r>
      <w:r w:rsidR="00385499" w:rsidRPr="00F837E6">
        <w:rPr>
          <w:i/>
        </w:rPr>
        <w:t>D. H. a ostatní proti ČR</w:t>
      </w:r>
      <w:r w:rsidR="00385499">
        <w:t xml:space="preserve"> došlo k</w:t>
      </w:r>
      <w:r w:rsidR="00782C7B">
        <w:t> </w:t>
      </w:r>
      <w:r w:rsidR="00385499">
        <w:t>pokroku</w:t>
      </w:r>
      <w:r w:rsidR="00782C7B">
        <w:t xml:space="preserve"> v plnění požadavku rozsudku</w:t>
      </w:r>
      <w:r w:rsidR="00385499">
        <w:t>. Zpráva konstatuje, že k</w:t>
      </w:r>
      <w:r w:rsidR="00782C7B">
        <w:t xml:space="preserve"> výraznému </w:t>
      </w:r>
      <w:r w:rsidR="00385499">
        <w:t xml:space="preserve">pokroku nedošlo, </w:t>
      </w:r>
      <w:r w:rsidR="00782C7B">
        <w:t xml:space="preserve">neboť se nadále </w:t>
      </w:r>
      <w:r w:rsidR="00385499">
        <w:t xml:space="preserve">významný podíl </w:t>
      </w:r>
      <w:r w:rsidR="00663DDA">
        <w:t xml:space="preserve">romských žáků </w:t>
      </w:r>
      <w:r w:rsidR="00385499">
        <w:t xml:space="preserve">vzdělává v bývalých zvláštních školách, dnes </w:t>
      </w:r>
      <w:r w:rsidR="00782C7B">
        <w:t xml:space="preserve">často </w:t>
      </w:r>
      <w:r w:rsidR="00EE4784">
        <w:t xml:space="preserve">označovaných jako </w:t>
      </w:r>
      <w:r w:rsidR="00385499">
        <w:t>základní škol</w:t>
      </w:r>
      <w:r w:rsidR="00EE4784">
        <w:t xml:space="preserve">y </w:t>
      </w:r>
      <w:r w:rsidR="00385499">
        <w:t>praktick</w:t>
      </w:r>
      <w:r w:rsidR="00EE4784">
        <w:t xml:space="preserve">é. </w:t>
      </w:r>
      <w:r w:rsidRPr="00D22184">
        <w:t xml:space="preserve">V červnu 2012 byl zveřejněn </w:t>
      </w:r>
      <w:r w:rsidRPr="00D22184">
        <w:rPr>
          <w:i/>
          <w:iCs/>
        </w:rPr>
        <w:t>Výzkum veřejného ochránce práv k otázce etnického složení žáků bývalých zvláštních škol</w:t>
      </w:r>
      <w:r w:rsidRPr="00D22184">
        <w:rPr>
          <w:vertAlign w:val="superscript"/>
        </w:rPr>
        <w:footnoteReference w:id="1"/>
      </w:r>
      <w:r w:rsidR="00EE4784">
        <w:t xml:space="preserve">. </w:t>
      </w:r>
      <w:r w:rsidRPr="00D22184">
        <w:t>Pracovníci veřejného ochránce práv identifikovali prostřednictvím metody pozorování celkem 32% romských žáků na</w:t>
      </w:r>
      <w:r w:rsidR="0019407F">
        <w:t xml:space="preserve"> </w:t>
      </w:r>
      <w:r w:rsidRPr="00D22184">
        <w:t>sledovaných 67 školách (kvalifikovaný odhad učitelů byl vyšší – 35% romských žáků). V červenci 2012 byla zveřejněna „</w:t>
      </w:r>
      <w:r w:rsidRPr="00D22184">
        <w:rPr>
          <w:i/>
        </w:rPr>
        <w:t>Tematická zpráva České školní inspekce: Postup transformace bývalých zvláštních škol ve školním roce 2011/2012</w:t>
      </w:r>
      <w:r w:rsidRPr="00D22184">
        <w:t>“, která podává informaci</w:t>
      </w:r>
      <w:r>
        <w:t xml:space="preserve"> </w:t>
      </w:r>
      <w:r w:rsidR="0019407F">
        <w:br/>
      </w:r>
      <w:r w:rsidRPr="00D22184">
        <w:t xml:space="preserve">o dalším postupu transformace bývalých zvláštních škol, které se v souladu s § 189 odst. 3 školského zákona staly od 1. ledna 2005 základními školami, základními školami praktickými a základními školami speciálními. Podíl romských žáků, kteří se v nich vzdělávali </w:t>
      </w:r>
      <w:r w:rsidR="0019407F">
        <w:t>pod</w:t>
      </w:r>
      <w:r w:rsidRPr="00D22184">
        <w:t>le vzdělávacího programu pro žáky s lehkým mentálním postižením, činil dle kvalifikovaných odhadů ředitelů škol 26,4 %.</w:t>
      </w:r>
    </w:p>
    <w:p w:rsidR="00782C7B" w:rsidRPr="00782C7B" w:rsidRDefault="00663DDA" w:rsidP="004D6D2B">
      <w:pPr>
        <w:spacing w:before="120"/>
        <w:ind w:firstLine="425"/>
        <w:jc w:val="both"/>
      </w:pPr>
      <w:r>
        <w:t xml:space="preserve">Významným problémem </w:t>
      </w:r>
      <w:r w:rsidR="008929C5">
        <w:t xml:space="preserve">sociálně znevýhodněných </w:t>
      </w:r>
      <w:r>
        <w:t xml:space="preserve">romských dětí </w:t>
      </w:r>
      <w:r w:rsidR="008929C5">
        <w:t xml:space="preserve">je </w:t>
      </w:r>
      <w:r>
        <w:t xml:space="preserve">při </w:t>
      </w:r>
      <w:r w:rsidR="0019407F">
        <w:t>zahájení povinné školní docházky jejich nepřipravenost na vstup do ZŠ, která vyplývá ze života v sociokulturně znevýhodňujícím prostředí a z </w:t>
      </w:r>
      <w:r>
        <w:t>nízk</w:t>
      </w:r>
      <w:r w:rsidR="0019407F">
        <w:t>é</w:t>
      </w:r>
      <w:r>
        <w:t xml:space="preserve"> účast</w:t>
      </w:r>
      <w:r w:rsidR="0019407F">
        <w:t>i</w:t>
      </w:r>
      <w:r>
        <w:t xml:space="preserve"> v předškolním vzdělávání</w:t>
      </w:r>
      <w:r w:rsidR="00782C7B">
        <w:t xml:space="preserve"> zejména v mateřských školách</w:t>
      </w:r>
      <w:r w:rsidR="0019407F">
        <w:t>, kde probíhá dlouhodobější předškolní příprava</w:t>
      </w:r>
      <w:r>
        <w:t xml:space="preserve">. </w:t>
      </w:r>
      <w:r w:rsidR="00782C7B">
        <w:t xml:space="preserve">Romští rodiče volí častěji </w:t>
      </w:r>
      <w:r w:rsidR="00220C0E">
        <w:t xml:space="preserve">krátkodobou </w:t>
      </w:r>
      <w:r w:rsidR="00782C7B">
        <w:t xml:space="preserve">přípravu v přípravných třídách, jejichž počet se zvyšuje. </w:t>
      </w:r>
      <w:r w:rsidR="00782C7B" w:rsidRPr="00782C7B">
        <w:t xml:space="preserve">V roce 2012 zřídilo v ČR 209 škol 244 přípravných tříd, ve kterých se vzdělávalo 2 884 dětí. (pro srovnání, v roce 2011 zřídilo 194 škol 228 přípravných tříd, ve kterých se vzdělávalo 2800 žáků). </w:t>
      </w:r>
    </w:p>
    <w:p w:rsidR="00D22184" w:rsidRDefault="00663DDA" w:rsidP="00D22184">
      <w:pPr>
        <w:spacing w:before="120"/>
        <w:ind w:firstLine="426"/>
        <w:jc w:val="both"/>
      </w:pPr>
      <w:r>
        <w:t xml:space="preserve">Neúspěch na </w:t>
      </w:r>
      <w:r w:rsidR="00220C0E">
        <w:t xml:space="preserve">běžných </w:t>
      </w:r>
      <w:r>
        <w:t>základní</w:t>
      </w:r>
      <w:r w:rsidR="00220C0E">
        <w:t>ch</w:t>
      </w:r>
      <w:r>
        <w:t xml:space="preserve"> škol</w:t>
      </w:r>
      <w:r w:rsidR="00220C0E">
        <w:t xml:space="preserve">ách, které nejsou dostatečně připravené na práci se sociálně znevýhodněnými romskými žáky, jejich vytlačování do spádových romských škol či přímo do základních škol praktických, kde se vyučují </w:t>
      </w:r>
      <w:r>
        <w:t>dle vzdělávacího programu pro žáky s lehkým mentálním postižením</w:t>
      </w:r>
      <w:r w:rsidR="00220C0E">
        <w:t>,</w:t>
      </w:r>
      <w:r>
        <w:t xml:space="preserve"> je příčinou předčasného ukončení </w:t>
      </w:r>
      <w:r w:rsidR="00220C0E">
        <w:t xml:space="preserve">jejich </w:t>
      </w:r>
      <w:r>
        <w:t xml:space="preserve">vzdělávací dráhy často </w:t>
      </w:r>
      <w:r w:rsidR="00220C0E">
        <w:t xml:space="preserve">už na </w:t>
      </w:r>
      <w:r>
        <w:t>základní škol</w:t>
      </w:r>
      <w:r w:rsidR="00220C0E">
        <w:t>e</w:t>
      </w:r>
      <w:r>
        <w:t>. Významný podíl romských žáků přechází do učňovských oborů</w:t>
      </w:r>
      <w:r w:rsidR="002B109A">
        <w:t xml:space="preserve"> ukončených výučním listem. J</w:t>
      </w:r>
      <w:r>
        <w:t xml:space="preserve">en nízký podíl přechází </w:t>
      </w:r>
      <w:r w:rsidR="002B109A">
        <w:t xml:space="preserve">do studia </w:t>
      </w:r>
      <w:r w:rsidR="00A951A8">
        <w:t>střed</w:t>
      </w:r>
      <w:r w:rsidR="002B109A">
        <w:t>oškolských oborů</w:t>
      </w:r>
      <w:r w:rsidR="00A951A8">
        <w:t xml:space="preserve"> ukončen</w:t>
      </w:r>
      <w:r w:rsidR="002B109A">
        <w:t>ých</w:t>
      </w:r>
      <w:r w:rsidR="00A951A8">
        <w:t xml:space="preserve"> maturitou, což se projevuje i na velmi nízkém podílu </w:t>
      </w:r>
      <w:r w:rsidR="00220C0E">
        <w:t xml:space="preserve">romských </w:t>
      </w:r>
      <w:r w:rsidR="00A951A8">
        <w:t>studentů, kteří pokrač</w:t>
      </w:r>
      <w:r w:rsidR="002B109A">
        <w:t>ují ve studiu na vyšší odborné či</w:t>
      </w:r>
      <w:r w:rsidR="00A951A8">
        <w:t xml:space="preserve"> vysoké škole.</w:t>
      </w:r>
      <w:r w:rsidR="00220C0E">
        <w:t xml:space="preserve"> Nedaří se tedy zvýšit vzdělanostní úroveň Romů, která je základním předpokladem pro zlepšení jejich situace na trhu práce </w:t>
      </w:r>
      <w:r w:rsidR="002B109A">
        <w:br/>
      </w:r>
      <w:r w:rsidR="00220C0E">
        <w:t xml:space="preserve">a jejich společenské pozice. </w:t>
      </w:r>
      <w:r w:rsidR="00A951A8">
        <w:t xml:space="preserve"> </w:t>
      </w:r>
      <w:r>
        <w:t xml:space="preserve"> </w:t>
      </w:r>
    </w:p>
    <w:p w:rsidR="00663DDA" w:rsidRDefault="00A951A8" w:rsidP="00D22184">
      <w:pPr>
        <w:spacing w:before="120"/>
        <w:ind w:firstLine="426"/>
        <w:jc w:val="both"/>
      </w:pPr>
      <w:r>
        <w:t xml:space="preserve">Situace Romů je dlouhodobě nepříznivá i </w:t>
      </w:r>
      <w:r w:rsidR="00536913" w:rsidRPr="004D6D2B">
        <w:rPr>
          <w:b/>
          <w:i/>
        </w:rPr>
        <w:t>v oblasti zaměstnanosti</w:t>
      </w:r>
      <w:r w:rsidR="00536913">
        <w:t xml:space="preserve">, </w:t>
      </w:r>
      <w:r>
        <w:t xml:space="preserve">a to </w:t>
      </w:r>
      <w:r w:rsidR="007F2CAE">
        <w:t>nejen v důsledku hospodářského zpomalení, k</w:t>
      </w:r>
      <w:r w:rsidR="007F2CAE" w:rsidRPr="007F2CAE">
        <w:t>dy byla průměrná míra nezaměstnanosti v</w:t>
      </w:r>
      <w:r w:rsidR="00220C0E">
        <w:t xml:space="preserve"> ČR v </w:t>
      </w:r>
      <w:r w:rsidR="007F2CAE" w:rsidRPr="007F2CAE">
        <w:t>tomto období  8,6%. V prosinci roku 2012 se nad hranicí 10% nezaměstnanosti pohybovalo hned 8 krajů</w:t>
      </w:r>
      <w:r w:rsidR="007F2CAE">
        <w:t xml:space="preserve"> </w:t>
      </w:r>
      <w:r w:rsidR="00220C0E">
        <w:br/>
      </w:r>
      <w:r w:rsidR="007F2CAE">
        <w:lastRenderedPageBreak/>
        <w:t xml:space="preserve">(v Ústeckém kraji dosáhla míra nezaměstnanosti </w:t>
      </w:r>
      <w:r w:rsidR="007F2CAE" w:rsidRPr="007F2CAE">
        <w:t>14%</w:t>
      </w:r>
      <w:r w:rsidR="007F2CAE">
        <w:t xml:space="preserve">). Dalším znevýhodňujícím faktorem je nižší úroveň vzdělání a kvalifikace, ale i diskriminace Romů na trhu práce, která bohužel není aktivně monitorována a postihována ze strany kontrolních orgánů. Dalším znevýhodňujícím faktorem </w:t>
      </w:r>
      <w:r>
        <w:t xml:space="preserve">je </w:t>
      </w:r>
      <w:r w:rsidR="007F2CAE">
        <w:t xml:space="preserve">i fakt, </w:t>
      </w:r>
      <w:r>
        <w:t xml:space="preserve">že </w:t>
      </w:r>
      <w:r w:rsidR="007F2CAE">
        <w:t xml:space="preserve">Romové </w:t>
      </w:r>
      <w:r>
        <w:t xml:space="preserve">žijí na území vyloučených lokalit a ve strukturálně postižených regionech, kde je obecně velmi nízká dostupnost volných pracovních míst. </w:t>
      </w:r>
    </w:p>
    <w:p w:rsidR="007F2CAE" w:rsidRPr="007F2CAE" w:rsidRDefault="007F2CAE" w:rsidP="007F2CAE">
      <w:pPr>
        <w:spacing w:before="120"/>
        <w:ind w:firstLine="426"/>
        <w:jc w:val="both"/>
      </w:pPr>
      <w:r w:rsidRPr="007F2CAE">
        <w:t xml:space="preserve">MPSV provádí každoročně dotazníkové šetření na krajských pracovištích Úřadu práce ČR a formou kvalifikovaného odhadu zjišťuje účast romských uchazečů v aktivní politice zaměstnanosti i jejich úspěšnost na trhu práce. V roce 2012 se do tohoto šetření zapojilo </w:t>
      </w:r>
      <w:r w:rsidRPr="007F2CAE">
        <w:br/>
        <w:t>13 ze 14 krajských poboček Úřadu práce ČR. Data jsou uvedena v podílech a lze je vnímat jako reprezentativní, neboť se šetření účastnilo 93% z oslovených poboček.</w:t>
      </w:r>
    </w:p>
    <w:p w:rsidR="007F2CAE" w:rsidRPr="007F2CAE" w:rsidRDefault="007F2CAE" w:rsidP="007F2CAE">
      <w:pPr>
        <w:spacing w:before="120"/>
        <w:ind w:firstLine="426"/>
        <w:jc w:val="both"/>
      </w:pPr>
      <w:r w:rsidRPr="007F2CAE">
        <w:t xml:space="preserve">Tyto úřady udávají, že bylo v roce 2012 evidováno celkem 47 854 romských uchazečů. Byl tedy zaznamenán značný nárůst uchazečů ve srovnání s minulým rokem (v roce 2011 bylo evidováno 38 456 romských uchazečů). Mírnou převahu měli romští muži (52%) mezi uchazeči nad romskými ženami (48%).  </w:t>
      </w:r>
    </w:p>
    <w:p w:rsidR="007F2CAE" w:rsidRPr="004D6D2B" w:rsidRDefault="007F2CAE" w:rsidP="004D6D2B">
      <w:pPr>
        <w:jc w:val="both"/>
        <w:rPr>
          <w:bCs/>
          <w:sz w:val="22"/>
          <w:szCs w:val="22"/>
        </w:rPr>
      </w:pPr>
      <w:r w:rsidRPr="004D6D2B">
        <w:rPr>
          <w:bCs/>
          <w:sz w:val="22"/>
          <w:szCs w:val="22"/>
        </w:rPr>
        <w:t xml:space="preserve">Tab. </w:t>
      </w:r>
      <w:proofErr w:type="gramStart"/>
      <w:r w:rsidRPr="004D6D2B">
        <w:rPr>
          <w:bCs/>
          <w:sz w:val="22"/>
          <w:szCs w:val="22"/>
        </w:rPr>
        <w:t>č.</w:t>
      </w:r>
      <w:proofErr w:type="gramEnd"/>
      <w:r w:rsidRPr="004D6D2B">
        <w:rPr>
          <w:bCs/>
          <w:sz w:val="22"/>
          <w:szCs w:val="22"/>
        </w:rPr>
        <w:t xml:space="preserve"> 8 Odhad počtu romských uchazečů o zaměstnání evidovaných v roce 2012 na Úřadu práce ČR</w:t>
      </w:r>
    </w:p>
    <w:tbl>
      <w:tblPr>
        <w:tblW w:w="0" w:type="auto"/>
        <w:jc w:val="center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1"/>
        <w:gridCol w:w="2021"/>
        <w:gridCol w:w="1301"/>
        <w:gridCol w:w="1604"/>
      </w:tblGrid>
      <w:tr w:rsidR="007F2CAE" w:rsidRPr="007F2CAE" w:rsidTr="004D6D2B">
        <w:trPr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2CAE" w:rsidRPr="004D6D2B" w:rsidRDefault="007F2CAE" w:rsidP="004D6D2B">
            <w:pPr>
              <w:jc w:val="both"/>
              <w:rPr>
                <w:b/>
                <w:bCs/>
                <w:sz w:val="22"/>
                <w:szCs w:val="22"/>
              </w:rPr>
            </w:pPr>
            <w:r w:rsidRPr="004D6D2B">
              <w:rPr>
                <w:b/>
                <w:bCs/>
                <w:sz w:val="22"/>
                <w:szCs w:val="22"/>
              </w:rPr>
              <w:t>Údaje za ČR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2CAE" w:rsidRPr="004D6D2B" w:rsidRDefault="007F2CAE" w:rsidP="004D6D2B">
            <w:pPr>
              <w:jc w:val="both"/>
              <w:rPr>
                <w:b/>
                <w:bCs/>
                <w:sz w:val="22"/>
                <w:szCs w:val="22"/>
              </w:rPr>
            </w:pPr>
            <w:r w:rsidRPr="004D6D2B">
              <w:rPr>
                <w:b/>
                <w:bCs/>
                <w:sz w:val="22"/>
                <w:szCs w:val="22"/>
              </w:rPr>
              <w:t xml:space="preserve">Celkem Romové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2CAE" w:rsidRPr="004D6D2B" w:rsidRDefault="007F2CAE" w:rsidP="004D6D2B">
            <w:pPr>
              <w:jc w:val="both"/>
              <w:rPr>
                <w:b/>
                <w:bCs/>
                <w:sz w:val="22"/>
                <w:szCs w:val="22"/>
              </w:rPr>
            </w:pPr>
            <w:r w:rsidRPr="004D6D2B">
              <w:rPr>
                <w:b/>
                <w:bCs/>
                <w:sz w:val="22"/>
                <w:szCs w:val="22"/>
              </w:rPr>
              <w:t>Muži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2CAE" w:rsidRPr="004D6D2B" w:rsidRDefault="007F2CAE" w:rsidP="004D6D2B">
            <w:pPr>
              <w:jc w:val="both"/>
              <w:rPr>
                <w:b/>
                <w:bCs/>
                <w:sz w:val="22"/>
                <w:szCs w:val="22"/>
              </w:rPr>
            </w:pPr>
            <w:r w:rsidRPr="004D6D2B">
              <w:rPr>
                <w:b/>
                <w:bCs/>
                <w:sz w:val="22"/>
                <w:szCs w:val="22"/>
              </w:rPr>
              <w:t>Ženy</w:t>
            </w:r>
          </w:p>
        </w:tc>
      </w:tr>
      <w:tr w:rsidR="007F2CAE" w:rsidRPr="007F2CAE" w:rsidTr="004D6D2B">
        <w:trPr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AE" w:rsidRPr="004D6D2B" w:rsidRDefault="007F2CAE" w:rsidP="004D6D2B">
            <w:pPr>
              <w:jc w:val="both"/>
              <w:rPr>
                <w:bCs/>
                <w:sz w:val="22"/>
                <w:szCs w:val="22"/>
              </w:rPr>
            </w:pPr>
            <w:r w:rsidRPr="004D6D2B">
              <w:rPr>
                <w:bCs/>
                <w:sz w:val="22"/>
                <w:szCs w:val="22"/>
              </w:rPr>
              <w:t>celkem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AE" w:rsidRPr="004D6D2B" w:rsidRDefault="007F2CAE" w:rsidP="004D6D2B">
            <w:pPr>
              <w:jc w:val="both"/>
              <w:rPr>
                <w:bCs/>
                <w:sz w:val="22"/>
                <w:szCs w:val="22"/>
              </w:rPr>
            </w:pPr>
            <w:r w:rsidRPr="004D6D2B">
              <w:rPr>
                <w:bCs/>
                <w:sz w:val="22"/>
                <w:szCs w:val="22"/>
              </w:rPr>
              <w:t>47 854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AE" w:rsidRPr="004D6D2B" w:rsidRDefault="007F2CAE" w:rsidP="004D6D2B">
            <w:pPr>
              <w:jc w:val="both"/>
              <w:rPr>
                <w:bCs/>
                <w:sz w:val="22"/>
                <w:szCs w:val="22"/>
              </w:rPr>
            </w:pPr>
            <w:r w:rsidRPr="004D6D2B">
              <w:rPr>
                <w:bCs/>
                <w:sz w:val="22"/>
                <w:szCs w:val="22"/>
              </w:rPr>
              <w:t>22 875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AE" w:rsidRPr="004D6D2B" w:rsidRDefault="007F2CAE" w:rsidP="004D6D2B">
            <w:pPr>
              <w:jc w:val="both"/>
              <w:rPr>
                <w:bCs/>
                <w:sz w:val="22"/>
                <w:szCs w:val="22"/>
              </w:rPr>
            </w:pPr>
            <w:r w:rsidRPr="004D6D2B">
              <w:rPr>
                <w:bCs/>
                <w:sz w:val="22"/>
                <w:szCs w:val="22"/>
              </w:rPr>
              <w:t>24 979</w:t>
            </w:r>
          </w:p>
        </w:tc>
      </w:tr>
      <w:tr w:rsidR="007F2CAE" w:rsidRPr="007F2CAE" w:rsidTr="004D6D2B">
        <w:trPr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AE" w:rsidRPr="004D6D2B" w:rsidRDefault="007F2CAE" w:rsidP="004D6D2B">
            <w:pPr>
              <w:jc w:val="both"/>
              <w:rPr>
                <w:bCs/>
                <w:sz w:val="22"/>
                <w:szCs w:val="22"/>
                <w:vertAlign w:val="subscript"/>
              </w:rPr>
            </w:pPr>
            <w:proofErr w:type="gramStart"/>
            <w:r w:rsidRPr="004D6D2B">
              <w:rPr>
                <w:bCs/>
                <w:sz w:val="22"/>
                <w:szCs w:val="22"/>
              </w:rPr>
              <w:t>v  %</w:t>
            </w:r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AE" w:rsidRPr="004D6D2B" w:rsidRDefault="007F2CAE" w:rsidP="004D6D2B">
            <w:pPr>
              <w:jc w:val="both"/>
              <w:rPr>
                <w:bCs/>
                <w:sz w:val="22"/>
                <w:szCs w:val="22"/>
              </w:rPr>
            </w:pPr>
            <w:r w:rsidRPr="004D6D2B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AE" w:rsidRPr="004D6D2B" w:rsidRDefault="007F2CAE" w:rsidP="004D6D2B">
            <w:pPr>
              <w:jc w:val="both"/>
              <w:rPr>
                <w:bCs/>
                <w:sz w:val="22"/>
                <w:szCs w:val="22"/>
              </w:rPr>
            </w:pPr>
            <w:r w:rsidRPr="004D6D2B">
              <w:rPr>
                <w:bCs/>
                <w:sz w:val="22"/>
                <w:szCs w:val="22"/>
              </w:rPr>
              <w:t>47,8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AE" w:rsidRPr="004D6D2B" w:rsidRDefault="007F2CAE" w:rsidP="004D6D2B">
            <w:pPr>
              <w:jc w:val="both"/>
              <w:rPr>
                <w:bCs/>
                <w:sz w:val="22"/>
                <w:szCs w:val="22"/>
              </w:rPr>
            </w:pPr>
            <w:r w:rsidRPr="004D6D2B">
              <w:rPr>
                <w:bCs/>
                <w:sz w:val="22"/>
                <w:szCs w:val="22"/>
              </w:rPr>
              <w:t>52,2</w:t>
            </w:r>
          </w:p>
        </w:tc>
      </w:tr>
    </w:tbl>
    <w:p w:rsidR="00536913" w:rsidRPr="00536913" w:rsidRDefault="007F2CAE" w:rsidP="00536913">
      <w:pPr>
        <w:spacing w:before="120"/>
        <w:ind w:firstLine="426"/>
        <w:jc w:val="both"/>
        <w:rPr>
          <w:i/>
          <w:iCs/>
        </w:rPr>
      </w:pPr>
      <w:r w:rsidRPr="007F2CAE">
        <w:rPr>
          <w:bCs/>
        </w:rPr>
        <w:t xml:space="preserve">Do </w:t>
      </w:r>
      <w:r w:rsidRPr="007F2CAE">
        <w:t xml:space="preserve">nástrojů APZ bylo v roce 2012 zařazeno 15% z celkového počtu romských uchazečů </w:t>
      </w:r>
      <w:r w:rsidRPr="007F2CAE">
        <w:br/>
        <w:t>o zaměstnání (7 127 osob)</w:t>
      </w:r>
      <w:r w:rsidR="00536913">
        <w:t xml:space="preserve">, kdy nejčastěji využívali </w:t>
      </w:r>
      <w:r w:rsidRPr="007F2CAE">
        <w:t xml:space="preserve">poradenské programy (29%), veřejně prospěšné práce (26%), dále pak rekvalifikace (9%), ostatní nástroje APZ (9%), společensky účelná pracovní místa (3%) a nejméně rekvalifikace zaměřené na soukromé podnikání (0,2%). Z dotazníkového šetření MPSV vyplynulo, že z celkového počtu romských uchazečů se podařilo umístit 11,4 % z nich. </w:t>
      </w:r>
      <w:r w:rsidR="00536913" w:rsidRPr="00536913">
        <w:t xml:space="preserve">Ve srovnání s rokem 2011 tedy došlo k poklesu úspěšnosti </w:t>
      </w:r>
      <w:r w:rsidR="00940C55">
        <w:br/>
      </w:r>
      <w:r w:rsidR="00536913" w:rsidRPr="00536913">
        <w:t xml:space="preserve">(v roce 2011 bylo úspěšných </w:t>
      </w:r>
      <w:proofErr w:type="gramStart"/>
      <w:r w:rsidR="00536913" w:rsidRPr="00536913">
        <w:t>17%</w:t>
      </w:r>
      <w:proofErr w:type="gramEnd"/>
      <w:r w:rsidR="00536913" w:rsidRPr="00536913">
        <w:t xml:space="preserve"> rom</w:t>
      </w:r>
      <w:r w:rsidR="00536913">
        <w:t xml:space="preserve">ských </w:t>
      </w:r>
      <w:r w:rsidR="00536913" w:rsidRPr="00536913">
        <w:t xml:space="preserve"> uchazečů). </w:t>
      </w:r>
    </w:p>
    <w:p w:rsidR="00536913" w:rsidRPr="00536913" w:rsidRDefault="00536913" w:rsidP="00536913">
      <w:pPr>
        <w:spacing w:before="120"/>
        <w:ind w:firstLine="426"/>
        <w:jc w:val="both"/>
      </w:pPr>
      <w:r>
        <w:t xml:space="preserve">Zpráva </w:t>
      </w:r>
      <w:r w:rsidRPr="004D6D2B">
        <w:rPr>
          <w:b/>
          <w:i/>
        </w:rPr>
        <w:t>v oblasti bydlení</w:t>
      </w:r>
      <w:r>
        <w:t xml:space="preserve"> zaznamenává zhoršující se situaci romských domácností</w:t>
      </w:r>
      <w:r w:rsidR="00940C55">
        <w:t xml:space="preserve">. </w:t>
      </w:r>
      <w:r w:rsidRPr="00536913">
        <w:t>Romové</w:t>
      </w:r>
      <w:r w:rsidR="00940C55">
        <w:t xml:space="preserve">, </w:t>
      </w:r>
      <w:r w:rsidRPr="00536913">
        <w:t xml:space="preserve">zejména </w:t>
      </w:r>
      <w:r w:rsidR="00940C55">
        <w:t xml:space="preserve">ti </w:t>
      </w:r>
      <w:r w:rsidRPr="00536913">
        <w:t>sociálně vyloučení</w:t>
      </w:r>
      <w:r w:rsidR="00940C55">
        <w:t>,</w:t>
      </w:r>
      <w:r w:rsidRPr="00536913">
        <w:t xml:space="preserve"> patří dlouhodobě mezi jednu z nejvíce ohrožených skupin účastníku na trhu s byty, kde ve větší míře podléhají strukturálním bariérám </w:t>
      </w:r>
      <w:r w:rsidR="00940C55">
        <w:br/>
      </w:r>
      <w:r w:rsidRPr="00536913">
        <w:t xml:space="preserve">a diskriminaci. Postupem času se pro tuto cílovou skupinu </w:t>
      </w:r>
      <w:r w:rsidR="00940C55">
        <w:t xml:space="preserve">výrazně </w:t>
      </w:r>
      <w:r w:rsidRPr="00536913">
        <w:t>zhoršuje dostupnost standardních forem bydlení</w:t>
      </w:r>
      <w:r>
        <w:t xml:space="preserve">, </w:t>
      </w:r>
      <w:r w:rsidRPr="00536913">
        <w:t xml:space="preserve">mezi něž patří nájemní bydlení u soukromých pronajímatelů či pronájem obecního bytu. Takřka nedostupnými formami je bydlení v bytě v osobním či </w:t>
      </w:r>
      <w:r w:rsidR="00940C55">
        <w:br/>
        <w:t xml:space="preserve">v </w:t>
      </w:r>
      <w:r w:rsidRPr="00536913">
        <w:t xml:space="preserve">družstevním vlastnictví. </w:t>
      </w:r>
      <w:r>
        <w:t xml:space="preserve">Narůstá </w:t>
      </w:r>
      <w:r w:rsidRPr="00536913">
        <w:t>počet romských domácností, které jsou odkázány pouze na nestandardní formy ubytování u vlastníků ubytovacích zařízení</w:t>
      </w:r>
      <w:r>
        <w:t>, která nejsou určen</w:t>
      </w:r>
      <w:r w:rsidR="00940C55">
        <w:t>á</w:t>
      </w:r>
      <w:r>
        <w:t xml:space="preserve"> pro dlouhodobé bydlení</w:t>
      </w:r>
      <w:r w:rsidR="00940C55">
        <w:t>,</w:t>
      </w:r>
      <w:r>
        <w:t xml:space="preserve"> zejména rodin s dětmi</w:t>
      </w:r>
      <w:r w:rsidRPr="00536913">
        <w:t xml:space="preserve">. Praxe ukazuje, že jakmile se romské domácnosti dostávají ze segmentu </w:t>
      </w:r>
      <w:r>
        <w:t xml:space="preserve">klasického </w:t>
      </w:r>
      <w:r w:rsidRPr="00536913">
        <w:t xml:space="preserve">nájemního bydlení, </w:t>
      </w:r>
      <w:r w:rsidR="00940C55">
        <w:t xml:space="preserve">např. z důvodu výpovědi z nájmu, </w:t>
      </w:r>
      <w:r w:rsidRPr="00536913">
        <w:t xml:space="preserve">je velmi malá </w:t>
      </w:r>
      <w:r>
        <w:t xml:space="preserve">šance na to, </w:t>
      </w:r>
      <w:r w:rsidRPr="00536913">
        <w:t xml:space="preserve">že se budou moci </w:t>
      </w:r>
      <w:r w:rsidR="002B109A">
        <w:t xml:space="preserve">v budoucnu </w:t>
      </w:r>
      <w:r w:rsidRPr="00536913">
        <w:t xml:space="preserve">vrátit zpět. Ubytovny jsou pro romské rodiny často jedinou alternativou bydlení. </w:t>
      </w:r>
      <w:r>
        <w:t xml:space="preserve">Provozovatelé ubytoven </w:t>
      </w:r>
      <w:r w:rsidR="00940C55">
        <w:t xml:space="preserve">takto </w:t>
      </w:r>
      <w:r w:rsidRPr="00536913">
        <w:t>nahrazují chybějící segment sociálního bydlení pro nízkopříjmové domácnosti</w:t>
      </w:r>
      <w:r w:rsidR="00940C55">
        <w:t xml:space="preserve"> a vydělávají na systému dávek na bydlení, které jsou ubytovaným vypláceny. </w:t>
      </w:r>
      <w:r>
        <w:t xml:space="preserve">Celkovému řešení situace neprospívá </w:t>
      </w:r>
      <w:r w:rsidR="00940C55">
        <w:t xml:space="preserve">ani </w:t>
      </w:r>
      <w:r>
        <w:t xml:space="preserve">to, že </w:t>
      </w:r>
      <w:r w:rsidR="00940C55">
        <w:t xml:space="preserve">opakovaně </w:t>
      </w:r>
      <w:r>
        <w:t xml:space="preserve">dochází k odkládání úkolů </w:t>
      </w:r>
      <w:r w:rsidRPr="00F837E6">
        <w:rPr>
          <w:i/>
        </w:rPr>
        <w:t>Koncepce bydlení do roku 2020</w:t>
      </w:r>
      <w:r>
        <w:t xml:space="preserve">, které </w:t>
      </w:r>
      <w:r w:rsidR="002B109A">
        <w:t xml:space="preserve">by </w:t>
      </w:r>
      <w:r>
        <w:t xml:space="preserve">měly směřovat k návrhu komplexního řešení sociálního bydlení v ČR. </w:t>
      </w:r>
    </w:p>
    <w:p w:rsidR="00E32B99" w:rsidRDefault="00E32B99" w:rsidP="00E32B99">
      <w:pPr>
        <w:spacing w:before="120"/>
        <w:ind w:firstLine="426"/>
        <w:jc w:val="both"/>
      </w:pPr>
      <w:r>
        <w:t xml:space="preserve">Další kapitola se zaměřuje na situaci Romů </w:t>
      </w:r>
      <w:r w:rsidRPr="004D6D2B">
        <w:rPr>
          <w:b/>
          <w:i/>
        </w:rPr>
        <w:t>v oblasti zdraví</w:t>
      </w:r>
      <w:r>
        <w:t xml:space="preserve">, kdy byl zaznamenán </w:t>
      </w:r>
      <w:r w:rsidRPr="00E32B99">
        <w:t>horší zdravotní stav</w:t>
      </w:r>
      <w:r>
        <w:t xml:space="preserve"> a nižší střední délka</w:t>
      </w:r>
      <w:r w:rsidRPr="00E32B99">
        <w:t xml:space="preserve"> života</w:t>
      </w:r>
      <w:r>
        <w:t xml:space="preserve"> zejména u sociálně vyloučených Romů</w:t>
      </w:r>
      <w:r w:rsidRPr="00E32B99">
        <w:t>. V této cílové skupině je vyšší výskyt chronických chorob</w:t>
      </w:r>
      <w:r w:rsidR="00940C55">
        <w:t xml:space="preserve">. </w:t>
      </w:r>
      <w:r w:rsidRPr="00E32B99">
        <w:t xml:space="preserve">Přístup romských uživatelů programu ke zdravotní péči je ovlivněn několika faktory. Z hlediska příčin jej ovlivňují individuální postoje a návyky cílové skupiny a institucionální bariéry ve využívání systému zdravotní péče a sociální péče spojené se zdravotním postižením. V případě individuálních postojů lze mezi problémy řadit zejména zanedbanou prevenci (týká se zejména preventivních </w:t>
      </w:r>
      <w:r w:rsidRPr="00E32B99">
        <w:lastRenderedPageBreak/>
        <w:t>stomatologických a gynekologických prohlídek,</w:t>
      </w:r>
      <w:r w:rsidRPr="00E32B99">
        <w:rPr>
          <w:b/>
        </w:rPr>
        <w:t xml:space="preserve"> </w:t>
      </w:r>
      <w:r w:rsidRPr="00E32B99">
        <w:t>nedodržování léčebného režimu u léčby diagnostikovaných onemocnění či nevhodného životního stylu (zejména kouření v době těhotenství a mateřství, nezdravá životospráva) apod. V případě institucionálních bariér jde zejména o problémy s registrací u lékařů spojené s diskriminačním jednáním, ale také neschopnost klientů přijímat a analyzovat dostupné informace (týkající se životního stylu, nároků a práv spojených s využíváním veřejných služeb apod.) a informace předávané ze strany lékařů a zdravotnického personálu (jde často o jazykové bariéry a komunikační kompetence, uživatelé nerozumí sdělovaným informacím, takže mnohdy ani nedokáží přizpůsobit svoje jednání v rámci léčby požadavkům apod.). V současné době čím dál zřetelněji vystupují důsledky nedávných změn v povinnostech spojených s úhradou zdravotního pojištění, ale také ve vzniku nároku na invalidní důchod. Významná část uživatelů služby má v současné době dluhy na zdravotním pojištění a bohužel ani snaha je splatit formou splátkového kalendáře se nejeví jako schůdná vzhledem k relativně vysokým splátkám, které pojišťovny požadují.</w:t>
      </w:r>
    </w:p>
    <w:p w:rsidR="00E32B99" w:rsidRPr="00E32B99" w:rsidRDefault="00E32B99" w:rsidP="00E32B99">
      <w:pPr>
        <w:spacing w:before="120"/>
        <w:ind w:firstLine="426"/>
        <w:jc w:val="both"/>
      </w:pPr>
      <w:r>
        <w:t xml:space="preserve">Pokrok byl zaznamenán ve věci odškodnění </w:t>
      </w:r>
      <w:r w:rsidRPr="00E32B99">
        <w:t>protiprávně sterilizovaný</w:t>
      </w:r>
      <w:r>
        <w:t xml:space="preserve">ch žen, z nichž významný podíl byly ženy romské. Pozitivně lze </w:t>
      </w:r>
      <w:r w:rsidRPr="00E32B99">
        <w:t xml:space="preserve">vnímat přijetí zákona č. 373/2011 Sb., </w:t>
      </w:r>
      <w:r w:rsidRPr="00E32B99">
        <w:br/>
      </w:r>
      <w:r w:rsidRPr="00E32B99">
        <w:rPr>
          <w:i/>
        </w:rPr>
        <w:t>o specifických zdravotních službách</w:t>
      </w:r>
      <w:r w:rsidRPr="00E32B99">
        <w:t xml:space="preserve">, který nabyl účinnosti na začátku roku 2012. </w:t>
      </w:r>
      <w:r w:rsidRPr="00E32B99">
        <w:rPr>
          <w:bCs/>
        </w:rPr>
        <w:t>Rada vlády pro lidská práva, která je organizačně součástí Sekce pro lidská práva Úřadu vlády ČR, dlouhodobě prosazuje, aby stát přijal odpovědnost za nedostatečnou legislativu</w:t>
      </w:r>
      <w:r>
        <w:rPr>
          <w:bCs/>
        </w:rPr>
        <w:t xml:space="preserve"> </w:t>
      </w:r>
      <w:r w:rsidRPr="00E32B99">
        <w:rPr>
          <w:bCs/>
        </w:rPr>
        <w:t xml:space="preserve">a protiprávně sterilizované ženy odškodnil. </w:t>
      </w:r>
      <w:r w:rsidRPr="00E32B99">
        <w:t xml:space="preserve">V roce 2012 schválila podnět k odškodnění protiprávně sterilizovaných žen. Dle tohoto podnětu by se mělo odškodnění dotknout těch žen, které byly sterilizované v letech 1972 až 1991 a vznikl jim nárok dle tehdejších předpisů na peněžitý příspěvek. Podnět byl již předložen do meziresortního připomínkového řízení a je nyní připravován pro jednání vlády. </w:t>
      </w:r>
    </w:p>
    <w:p w:rsidR="00974E7E" w:rsidRDefault="003239FC" w:rsidP="003239FC">
      <w:pPr>
        <w:spacing w:before="120"/>
        <w:ind w:firstLine="426"/>
        <w:jc w:val="both"/>
      </w:pPr>
      <w:r>
        <w:t xml:space="preserve">Další kapitola se zabývá sociálním vyloučením Romů a jejich situací </w:t>
      </w:r>
      <w:r w:rsidRPr="004D6D2B">
        <w:rPr>
          <w:b/>
          <w:i/>
        </w:rPr>
        <w:t>v sociální oblasti</w:t>
      </w:r>
      <w:r>
        <w:t xml:space="preserve">. Zde opět nebyl zaznamenán pozitivní vývoj, spíše naopak. </w:t>
      </w:r>
      <w:r w:rsidRPr="003239FC">
        <w:t>V roce 2006 bylo společností GAC spol. s r.o. identifikováno přes tři sta sociálně vyloučených lokalit</w:t>
      </w:r>
      <w:r>
        <w:t xml:space="preserve"> </w:t>
      </w:r>
      <w:proofErr w:type="gramStart"/>
      <w:r w:rsidRPr="003239FC">
        <w:t>v</w:t>
      </w:r>
      <w:r>
        <w:t>e</w:t>
      </w:r>
      <w:r w:rsidRPr="003239FC">
        <w:t xml:space="preserve"> 167</w:t>
      </w:r>
      <w:proofErr w:type="gramEnd"/>
      <w:r w:rsidRPr="003239FC">
        <w:t xml:space="preserve"> obcích.</w:t>
      </w:r>
      <w:r>
        <w:t xml:space="preserve"> </w:t>
      </w:r>
      <w:r w:rsidR="00463B9B">
        <w:t xml:space="preserve">Dle kvalifikovaných odhadů počet vyloučených lokalit narůstá a nelze přehlédnout, že významný podíl </w:t>
      </w:r>
      <w:r w:rsidR="002E795E">
        <w:t xml:space="preserve">jejich </w:t>
      </w:r>
      <w:r w:rsidR="00463B9B">
        <w:t xml:space="preserve">obyvatel tvoří </w:t>
      </w:r>
      <w:r w:rsidR="002E795E">
        <w:t xml:space="preserve">Romové. </w:t>
      </w:r>
      <w:r w:rsidR="00463B9B">
        <w:t>Odhadem žije v sociálním vyloučení 80 – 100 tisíc</w:t>
      </w:r>
      <w:r w:rsidR="002E795E">
        <w:t xml:space="preserve">, což představuje asi jednu třetinu z celkového počtu Romů žijících na území ČR. Romská etnicita je jedním z důvodů sociálního vyloučení a diskriminace Romů. V některých regionech </w:t>
      </w:r>
      <w:r w:rsidR="002E795E">
        <w:br/>
        <w:t xml:space="preserve">a obcích již došlo k eskalaci problému kvůli zanedbávání řešení tohoto problému a k narušení společenské soudržnosti. Zpráva následně představuje záměry a opatření realizovaná v roce 2012 za účelem řešení tohoto společenského problému. Představuje pokrok v plnění národních strategií, dopady přijatých opatření v souvislosti se sociální reformou na situaci Romů, prezentuje činnost Agentury pro sociální začleňování, přístup krajů a obcí k politice romské integrace. </w:t>
      </w:r>
    </w:p>
    <w:p w:rsidR="00463B9B" w:rsidRDefault="00974E7E" w:rsidP="003239FC">
      <w:pPr>
        <w:spacing w:before="120"/>
        <w:ind w:firstLine="426"/>
        <w:jc w:val="both"/>
      </w:pPr>
      <w:r>
        <w:t xml:space="preserve">Zpráva se zabývá i </w:t>
      </w:r>
      <w:r w:rsidRPr="004D6D2B">
        <w:rPr>
          <w:b/>
          <w:i/>
        </w:rPr>
        <w:t xml:space="preserve">bezpečnostní situací Romů </w:t>
      </w:r>
      <w:r w:rsidRPr="003A3F72">
        <w:t>v roce 2012.</w:t>
      </w:r>
      <w:r>
        <w:t xml:space="preserve"> První část kapitoly je věnovaná </w:t>
      </w:r>
      <w:r w:rsidR="003A3F72">
        <w:t xml:space="preserve">postojům většinové společnosti </w:t>
      </w:r>
      <w:r w:rsidR="00545248">
        <w:t xml:space="preserve">vůči </w:t>
      </w:r>
      <w:r w:rsidR="003A3F72">
        <w:t xml:space="preserve">Romům a využívá k tomu výzkumy </w:t>
      </w:r>
      <w:r w:rsidR="00545248">
        <w:t xml:space="preserve">veřejného mínění </w:t>
      </w:r>
      <w:r w:rsidR="003A3F72">
        <w:t xml:space="preserve">agentury STEM, Centra pro výzkum veřejného mínění Sociologického ústavu AVČR, ale i výsledky </w:t>
      </w:r>
      <w:r w:rsidR="003A3F72" w:rsidRPr="004D6D2B">
        <w:rPr>
          <w:i/>
        </w:rPr>
        <w:t xml:space="preserve">Analýzy mediálního zobrazení Romů </w:t>
      </w:r>
      <w:r w:rsidR="00563CF2" w:rsidRPr="004D6D2B">
        <w:rPr>
          <w:i/>
        </w:rPr>
        <w:t>v českých médiích</w:t>
      </w:r>
      <w:r w:rsidR="00545248">
        <w:t>, která vznikla v rámci Sekce pro lidská práva Úřadu vlády ČR</w:t>
      </w:r>
      <w:r w:rsidR="00563CF2">
        <w:t>. Dále p</w:t>
      </w:r>
      <w:r w:rsidR="003A3F72">
        <w:t xml:space="preserve">ředstavuje </w:t>
      </w:r>
      <w:r w:rsidR="00563CF2">
        <w:t xml:space="preserve">činnost </w:t>
      </w:r>
      <w:r>
        <w:t xml:space="preserve">extremistů </w:t>
      </w:r>
      <w:r w:rsidR="0000613A">
        <w:t>a z</w:t>
      </w:r>
      <w:r w:rsidR="00545248">
        <w:t xml:space="preserve">abývá se </w:t>
      </w:r>
      <w:r w:rsidR="0000613A">
        <w:br/>
      </w:r>
      <w:r w:rsidR="00545248">
        <w:t xml:space="preserve">i výskytem </w:t>
      </w:r>
      <w:r w:rsidR="00563CF2">
        <w:t>trestn</w:t>
      </w:r>
      <w:r w:rsidR="00545248">
        <w:t xml:space="preserve">é </w:t>
      </w:r>
      <w:r w:rsidR="00563CF2">
        <w:t>činností motivovan</w:t>
      </w:r>
      <w:r w:rsidR="00545248">
        <w:t xml:space="preserve">é </w:t>
      </w:r>
      <w:r w:rsidR="00563CF2">
        <w:t xml:space="preserve">nenávistí </w:t>
      </w:r>
      <w:r w:rsidR="00B23042">
        <w:t xml:space="preserve">vůči </w:t>
      </w:r>
      <w:r w:rsidR="0000613A">
        <w:t xml:space="preserve">Romům. </w:t>
      </w:r>
      <w:r w:rsidR="00545248">
        <w:t>Druhá část je věnovaná bezpečnostním rizikům, kter</w:t>
      </w:r>
      <w:r w:rsidR="0000613A">
        <w:t xml:space="preserve">á jsou spojená s výskytem rizikových forem chování </w:t>
      </w:r>
      <w:r w:rsidR="00B23042">
        <w:br/>
      </w:r>
      <w:r w:rsidR="0000613A">
        <w:t xml:space="preserve">a </w:t>
      </w:r>
      <w:r w:rsidR="00545248">
        <w:t xml:space="preserve">kriminality </w:t>
      </w:r>
      <w:r w:rsidR="002B109A">
        <w:t xml:space="preserve">vyplývající ze </w:t>
      </w:r>
      <w:r w:rsidR="00545248">
        <w:t>život</w:t>
      </w:r>
      <w:r w:rsidR="002B109A">
        <w:t>a</w:t>
      </w:r>
      <w:bookmarkStart w:id="0" w:name="_GoBack"/>
      <w:bookmarkEnd w:id="0"/>
      <w:r w:rsidR="00545248">
        <w:t xml:space="preserve"> v podmínkách sociálního vyloučení. Představuje opatření prevence kriminality a úspěšné projekty, včetně projektu </w:t>
      </w:r>
      <w:r w:rsidR="00B23042">
        <w:t xml:space="preserve">MV </w:t>
      </w:r>
      <w:r w:rsidR="0000613A">
        <w:t>Úsvit</w:t>
      </w:r>
      <w:r w:rsidR="00B23042">
        <w:t xml:space="preserve">. </w:t>
      </w:r>
      <w:r w:rsidR="0000613A">
        <w:t xml:space="preserve"> </w:t>
      </w:r>
      <w:r w:rsidR="00545248">
        <w:t xml:space="preserve"> </w:t>
      </w:r>
    </w:p>
    <w:p w:rsidR="00505757" w:rsidRPr="00505757" w:rsidRDefault="00B23042" w:rsidP="004D6D2B">
      <w:pPr>
        <w:spacing w:before="120"/>
        <w:ind w:firstLine="426"/>
        <w:jc w:val="both"/>
      </w:pPr>
      <w:r>
        <w:t xml:space="preserve">Součástí dokumentu jsou dvě přílohy. První z nich je </w:t>
      </w:r>
      <w:r w:rsidR="00505757" w:rsidRPr="00505757">
        <w:t>„</w:t>
      </w:r>
      <w:r w:rsidR="00505757" w:rsidRPr="00505757">
        <w:rPr>
          <w:i/>
        </w:rPr>
        <w:t>Informace o plnění usnesení vlády týkajících se integrace romské menšiny a aktivního postupu státní správy při uskutečňování opatření přijatých souvisejícími usneseními vlády ke dni 31. prosince 201</w:t>
      </w:r>
      <w:r w:rsidR="0000613A">
        <w:rPr>
          <w:i/>
        </w:rPr>
        <w:t>2</w:t>
      </w:r>
      <w:r w:rsidR="00505757" w:rsidRPr="00505757">
        <w:t xml:space="preserve">“, kde jsou </w:t>
      </w:r>
      <w:r w:rsidR="00505757" w:rsidRPr="00505757">
        <w:lastRenderedPageBreak/>
        <w:t>uvedeny údaje od resortů o tom, jakým způsobem plnily v roce 201</w:t>
      </w:r>
      <w:r>
        <w:t>2</w:t>
      </w:r>
      <w:r w:rsidR="00505757" w:rsidRPr="00505757">
        <w:t xml:space="preserve"> úkoly, které jim byly uloženy za účelem zlepšení situace Romů usneseními vlády. </w:t>
      </w:r>
      <w:r w:rsidR="0000613A">
        <w:t xml:space="preserve">Další přílohou je </w:t>
      </w:r>
      <w:r w:rsidR="00505757" w:rsidRPr="00505757">
        <w:t>„</w:t>
      </w:r>
      <w:r w:rsidR="00505757" w:rsidRPr="00505757">
        <w:rPr>
          <w:i/>
        </w:rPr>
        <w:t xml:space="preserve">Informace </w:t>
      </w:r>
      <w:r>
        <w:rPr>
          <w:i/>
        </w:rPr>
        <w:br/>
      </w:r>
      <w:r w:rsidR="00505757" w:rsidRPr="00505757">
        <w:rPr>
          <w:i/>
        </w:rPr>
        <w:t>o naplňování Dekády romské inkluze 2005 - 2015 v roce 201</w:t>
      </w:r>
      <w:r w:rsidR="0000613A">
        <w:rPr>
          <w:i/>
        </w:rPr>
        <w:t>2</w:t>
      </w:r>
      <w:r w:rsidR="00505757" w:rsidRPr="00505757">
        <w:rPr>
          <w:i/>
        </w:rPr>
        <w:t>“,</w:t>
      </w:r>
      <w:r w:rsidR="00505757" w:rsidRPr="00505757">
        <w:t xml:space="preserve"> která je důležitým podkladem </w:t>
      </w:r>
      <w:r w:rsidR="0000613A">
        <w:t xml:space="preserve">nejen pro vlády ČR, ale i </w:t>
      </w:r>
      <w:r w:rsidR="00505757" w:rsidRPr="00505757">
        <w:t xml:space="preserve">pro Mezinárodní řídící výbor Dekády romské inkluze 2005 – 2015 při komplexním hodnocení pokroku v plnění národních akčních plánů Dekády romské inkluze 2005 – 2015 na úrovni jednotlivých členských států.  </w:t>
      </w:r>
    </w:p>
    <w:p w:rsidR="00505757" w:rsidRDefault="00505757" w:rsidP="0000613A">
      <w:pPr>
        <w:spacing w:before="120"/>
        <w:jc w:val="both"/>
      </w:pPr>
    </w:p>
    <w:sectPr w:rsidR="005057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E2" w:rsidRDefault="00122AE2" w:rsidP="00505757">
      <w:r>
        <w:separator/>
      </w:r>
    </w:p>
  </w:endnote>
  <w:endnote w:type="continuationSeparator" w:id="0">
    <w:p w:rsidR="00122AE2" w:rsidRDefault="00122AE2" w:rsidP="0050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809725"/>
      <w:docPartObj>
        <w:docPartGallery w:val="Page Numbers (Bottom of Page)"/>
        <w:docPartUnique/>
      </w:docPartObj>
    </w:sdtPr>
    <w:sdtEndPr/>
    <w:sdtContent>
      <w:p w:rsidR="00E32B99" w:rsidRDefault="00E32B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09A">
          <w:rPr>
            <w:noProof/>
          </w:rPr>
          <w:t>4</w:t>
        </w:r>
        <w:r>
          <w:fldChar w:fldCharType="end"/>
        </w:r>
      </w:p>
    </w:sdtContent>
  </w:sdt>
  <w:p w:rsidR="00E32B99" w:rsidRDefault="00E32B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E2" w:rsidRDefault="00122AE2" w:rsidP="00505757">
      <w:r>
        <w:separator/>
      </w:r>
    </w:p>
  </w:footnote>
  <w:footnote w:type="continuationSeparator" w:id="0">
    <w:p w:rsidR="00122AE2" w:rsidRDefault="00122AE2" w:rsidP="00505757">
      <w:r>
        <w:continuationSeparator/>
      </w:r>
    </w:p>
  </w:footnote>
  <w:footnote w:id="1">
    <w:p w:rsidR="00D22184" w:rsidRDefault="00D22184" w:rsidP="00D2218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0169CE">
        <w:t xml:space="preserve">Etnicita žáků byla zjišťována dvěma metodami sběru etnických dat, metodou pozorování a metodou identifikace na základě nepřímých kritérií.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757" w:rsidRDefault="00505757">
    <w:pPr>
      <w:pStyle w:val="Zhlav"/>
    </w:pPr>
    <w:r>
      <w:t xml:space="preserve">Podklad </w:t>
    </w:r>
    <w:r w:rsidR="004D6D2B">
      <w:t xml:space="preserve">RVZRM </w:t>
    </w:r>
    <w:r>
      <w:t>pro zasedání Republikového výboru pro prevenci kriminality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4857"/>
    <w:multiLevelType w:val="multilevel"/>
    <w:tmpl w:val="52C84520"/>
    <w:lvl w:ilvl="0">
      <w:start w:val="1"/>
      <w:numFmt w:val="decimal"/>
      <w:pStyle w:val="STYL1"/>
      <w:lvlText w:val="%1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1" w:hanging="431"/>
      </w:pPr>
      <w:rPr>
        <w:rFonts w:hint="default"/>
      </w:rPr>
    </w:lvl>
  </w:abstractNum>
  <w:abstractNum w:abstractNumId="1">
    <w:nsid w:val="1F456175"/>
    <w:multiLevelType w:val="multilevel"/>
    <w:tmpl w:val="6BFC0E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0ED28EC"/>
    <w:multiLevelType w:val="hybridMultilevel"/>
    <w:tmpl w:val="D04CB014"/>
    <w:lvl w:ilvl="0" w:tplc="A484F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11663"/>
    <w:multiLevelType w:val="multilevel"/>
    <w:tmpl w:val="AC70ECF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cs-CZ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66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0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65"/>
    <w:rsid w:val="0000613A"/>
    <w:rsid w:val="00047BFF"/>
    <w:rsid w:val="00090FF4"/>
    <w:rsid w:val="000D3090"/>
    <w:rsid w:val="00122AE2"/>
    <w:rsid w:val="00156E08"/>
    <w:rsid w:val="00191878"/>
    <w:rsid w:val="0019407F"/>
    <w:rsid w:val="001D7DF6"/>
    <w:rsid w:val="00205482"/>
    <w:rsid w:val="00220C0E"/>
    <w:rsid w:val="002B109A"/>
    <w:rsid w:val="002C63D3"/>
    <w:rsid w:val="002E795E"/>
    <w:rsid w:val="003239FC"/>
    <w:rsid w:val="00326625"/>
    <w:rsid w:val="00385499"/>
    <w:rsid w:val="003A3F72"/>
    <w:rsid w:val="003B2357"/>
    <w:rsid w:val="00403A26"/>
    <w:rsid w:val="00451AC5"/>
    <w:rsid w:val="00463B9B"/>
    <w:rsid w:val="00464954"/>
    <w:rsid w:val="004D6D2B"/>
    <w:rsid w:val="00505757"/>
    <w:rsid w:val="00536913"/>
    <w:rsid w:val="00545248"/>
    <w:rsid w:val="00563CF2"/>
    <w:rsid w:val="00610D24"/>
    <w:rsid w:val="00641518"/>
    <w:rsid w:val="006514F8"/>
    <w:rsid w:val="00663DDA"/>
    <w:rsid w:val="00782C7B"/>
    <w:rsid w:val="007F2CAE"/>
    <w:rsid w:val="00803880"/>
    <w:rsid w:val="008929C5"/>
    <w:rsid w:val="00895E39"/>
    <w:rsid w:val="008B4CC9"/>
    <w:rsid w:val="008E4C39"/>
    <w:rsid w:val="008F640B"/>
    <w:rsid w:val="00932D5B"/>
    <w:rsid w:val="00940C55"/>
    <w:rsid w:val="00974B6E"/>
    <w:rsid w:val="00974E7E"/>
    <w:rsid w:val="009D7F50"/>
    <w:rsid w:val="00A951A8"/>
    <w:rsid w:val="00B23042"/>
    <w:rsid w:val="00B27AD6"/>
    <w:rsid w:val="00B37967"/>
    <w:rsid w:val="00BF1A65"/>
    <w:rsid w:val="00D22184"/>
    <w:rsid w:val="00E32B99"/>
    <w:rsid w:val="00E54F7E"/>
    <w:rsid w:val="00EE3167"/>
    <w:rsid w:val="00EE4784"/>
    <w:rsid w:val="00F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AD6"/>
    <w:rPr>
      <w:sz w:val="24"/>
      <w:szCs w:val="24"/>
      <w:lang w:eastAsia="cs-CZ"/>
    </w:rPr>
  </w:style>
  <w:style w:type="paragraph" w:styleId="Nadpis1">
    <w:name w:val="heading 1"/>
    <w:aliases w:val=" Char"/>
    <w:basedOn w:val="Normln"/>
    <w:next w:val="Normln"/>
    <w:link w:val="Nadpis1Char"/>
    <w:qFormat/>
    <w:rsid w:val="00B27AD6"/>
    <w:pPr>
      <w:keepNext/>
      <w:numPr>
        <w:numId w:val="7"/>
      </w:numPr>
      <w:spacing w:before="1440" w:after="240"/>
      <w:jc w:val="center"/>
      <w:outlineLvl w:val="0"/>
    </w:pPr>
    <w:rPr>
      <w:rFonts w:cs="Arial"/>
      <w:b/>
      <w:bCs/>
      <w:caps/>
      <w:kern w:val="32"/>
      <w:sz w:val="32"/>
      <w:szCs w:val="32"/>
      <w:lang w:val="en-US" w:eastAsia="en-US"/>
    </w:rPr>
  </w:style>
  <w:style w:type="paragraph" w:styleId="Nadpis2">
    <w:name w:val="heading 2"/>
    <w:basedOn w:val="Normln"/>
    <w:next w:val="Normln"/>
    <w:link w:val="Nadpis2Char"/>
    <w:qFormat/>
    <w:rsid w:val="00B27A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27A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27A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27A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qFormat/>
    <w:rsid w:val="00B27A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"/>
    <w:basedOn w:val="Normln"/>
    <w:uiPriority w:val="34"/>
    <w:qFormat/>
    <w:rsid w:val="00B27AD6"/>
    <w:pPr>
      <w:ind w:left="708"/>
    </w:pPr>
  </w:style>
  <w:style w:type="paragraph" w:customStyle="1" w:styleId="STYL1">
    <w:name w:val="STYL1"/>
    <w:basedOn w:val="Normln"/>
    <w:autoRedefine/>
    <w:qFormat/>
    <w:rsid w:val="00B27AD6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360"/>
      <w:outlineLvl w:val="0"/>
    </w:pPr>
    <w:rPr>
      <w:b/>
    </w:rPr>
  </w:style>
  <w:style w:type="paragraph" w:customStyle="1" w:styleId="STYL2">
    <w:name w:val="STYL2"/>
    <w:basedOn w:val="Normln"/>
    <w:link w:val="STYL2Char"/>
    <w:autoRedefine/>
    <w:qFormat/>
    <w:rsid w:val="00B27AD6"/>
    <w:pPr>
      <w:spacing w:before="120"/>
      <w:ind w:left="284" w:right="-311" w:hanging="360"/>
      <w:jc w:val="both"/>
      <w:outlineLvl w:val="1"/>
    </w:pPr>
    <w:rPr>
      <w:b/>
      <w:lang w:eastAsia="en-US"/>
    </w:rPr>
  </w:style>
  <w:style w:type="paragraph" w:customStyle="1" w:styleId="STYL3">
    <w:name w:val="STYL3"/>
    <w:basedOn w:val="Normln"/>
    <w:link w:val="STYL3Char"/>
    <w:autoRedefine/>
    <w:qFormat/>
    <w:rsid w:val="00B27AD6"/>
    <w:pPr>
      <w:tabs>
        <w:tab w:val="num" w:pos="0"/>
      </w:tabs>
      <w:spacing w:before="120" w:after="120"/>
      <w:ind w:left="431" w:hanging="431"/>
      <w:jc w:val="both"/>
      <w:outlineLvl w:val="2"/>
    </w:pPr>
    <w:rPr>
      <w:b/>
    </w:rPr>
  </w:style>
  <w:style w:type="character" w:customStyle="1" w:styleId="STYL3Char">
    <w:name w:val="STYL3 Char"/>
    <w:link w:val="STYL3"/>
    <w:rsid w:val="00B27AD6"/>
    <w:rPr>
      <w:b/>
      <w:sz w:val="24"/>
      <w:szCs w:val="24"/>
      <w:lang w:eastAsia="cs-CZ"/>
    </w:rPr>
  </w:style>
  <w:style w:type="paragraph" w:customStyle="1" w:styleId="Nadpis1stnovan">
    <w:name w:val="Nadpis 1 stínovaný"/>
    <w:basedOn w:val="Normln"/>
    <w:rsid w:val="00610D24"/>
    <w:pPr>
      <w:shd w:val="clear" w:color="auto" w:fill="CCCCCC"/>
      <w:jc w:val="center"/>
    </w:pPr>
    <w:rPr>
      <w:b/>
      <w:bCs/>
      <w:caps/>
      <w:sz w:val="28"/>
      <w:szCs w:val="22"/>
    </w:rPr>
  </w:style>
  <w:style w:type="paragraph" w:customStyle="1" w:styleId="Norm">
    <w:name w:val="Norm"/>
    <w:basedOn w:val="Normln"/>
    <w:rsid w:val="00610D24"/>
    <w:pPr>
      <w:keepNext/>
      <w:spacing w:before="120"/>
      <w:ind w:firstLine="567"/>
      <w:outlineLvl w:val="0"/>
    </w:pPr>
    <w:rPr>
      <w:bCs/>
      <w:kern w:val="32"/>
    </w:rPr>
  </w:style>
  <w:style w:type="character" w:customStyle="1" w:styleId="Nadpis1Char">
    <w:name w:val="Nadpis 1 Char"/>
    <w:aliases w:val=" Char Char"/>
    <w:link w:val="Nadpis1"/>
    <w:rsid w:val="00B27AD6"/>
    <w:rPr>
      <w:rFonts w:cs="Arial"/>
      <w:b/>
      <w:bCs/>
      <w:cap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rsid w:val="00610D24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B27AD6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610D24"/>
    <w:rPr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10D24"/>
    <w:rPr>
      <w:b/>
      <w:bCs/>
      <w:i/>
      <w:iCs/>
      <w:sz w:val="26"/>
      <w:szCs w:val="26"/>
      <w:lang w:eastAsia="cs-CZ"/>
    </w:rPr>
  </w:style>
  <w:style w:type="paragraph" w:styleId="Titulek">
    <w:name w:val="caption"/>
    <w:basedOn w:val="Normln"/>
    <w:next w:val="Normln"/>
    <w:qFormat/>
    <w:rsid w:val="00B27AD6"/>
    <w:rPr>
      <w:b/>
      <w:bCs/>
      <w:sz w:val="20"/>
      <w:szCs w:val="20"/>
    </w:rPr>
  </w:style>
  <w:style w:type="character" w:styleId="Siln">
    <w:name w:val="Strong"/>
    <w:uiPriority w:val="22"/>
    <w:qFormat/>
    <w:rsid w:val="00B27AD6"/>
    <w:rPr>
      <w:rFonts w:cs="Times New Roman"/>
      <w:b/>
      <w:bCs/>
    </w:rPr>
  </w:style>
  <w:style w:type="character" w:styleId="Zvraznn">
    <w:name w:val="Emphasis"/>
    <w:qFormat/>
    <w:rsid w:val="00B27AD6"/>
    <w:rPr>
      <w:rFonts w:cs="Times New Roman"/>
      <w:i/>
      <w:iCs/>
    </w:rPr>
  </w:style>
  <w:style w:type="paragraph" w:customStyle="1" w:styleId="Styl20">
    <w:name w:val="Styl2"/>
    <w:basedOn w:val="Nadpis1"/>
    <w:link w:val="Styl2Char0"/>
    <w:qFormat/>
    <w:rsid w:val="00B27AD6"/>
    <w:pPr>
      <w:numPr>
        <w:numId w:val="0"/>
      </w:numPr>
      <w:tabs>
        <w:tab w:val="num" w:pos="360"/>
      </w:tabs>
      <w:spacing w:before="120" w:after="0"/>
      <w:ind w:left="360" w:hanging="360"/>
      <w:jc w:val="both"/>
    </w:pPr>
    <w:rPr>
      <w:sz w:val="24"/>
      <w:szCs w:val="24"/>
    </w:rPr>
  </w:style>
  <w:style w:type="character" w:customStyle="1" w:styleId="Styl2Char0">
    <w:name w:val="Styl2 Char"/>
    <w:basedOn w:val="Nadpis1Char"/>
    <w:link w:val="Styl20"/>
    <w:rsid w:val="00B27AD6"/>
    <w:rPr>
      <w:rFonts w:cs="Arial"/>
      <w:b/>
      <w:bCs/>
      <w:caps/>
      <w:kern w:val="32"/>
      <w:sz w:val="24"/>
      <w:szCs w:val="24"/>
      <w:lang w:val="en-US"/>
    </w:rPr>
  </w:style>
  <w:style w:type="paragraph" w:customStyle="1" w:styleId="Odstavecseseznamem1">
    <w:name w:val="Odstavec se seznamem1"/>
    <w:basedOn w:val="Normln"/>
    <w:qFormat/>
    <w:rsid w:val="00B27AD6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RVZRK">
    <w:name w:val="RVZRK"/>
    <w:basedOn w:val="Normln"/>
    <w:qFormat/>
    <w:rsid w:val="00B27AD6"/>
    <w:pPr>
      <w:spacing w:line="360" w:lineRule="auto"/>
      <w:ind w:firstLine="709"/>
      <w:jc w:val="both"/>
    </w:pPr>
    <w:rPr>
      <w:rFonts w:ascii="Verdana" w:hAnsi="Verdana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B27AD6"/>
    <w:rPr>
      <w:rFonts w:ascii="Arial" w:hAnsi="Arial" w:cs="Arial"/>
      <w:sz w:val="22"/>
      <w:szCs w:val="22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B27AD6"/>
    <w:pPr>
      <w:spacing w:after="60" w:line="276" w:lineRule="auto"/>
      <w:jc w:val="center"/>
      <w:outlineLvl w:val="1"/>
    </w:pPr>
    <w:rPr>
      <w:rFonts w:ascii="Arial" w:hAnsi="Arial"/>
      <w:szCs w:val="20"/>
      <w:lang w:eastAsia="en-US"/>
    </w:rPr>
  </w:style>
  <w:style w:type="character" w:customStyle="1" w:styleId="PodtitulChar">
    <w:name w:val="Podtitul Char"/>
    <w:link w:val="Podtitul"/>
    <w:rsid w:val="00B27AD6"/>
    <w:rPr>
      <w:rFonts w:ascii="Arial" w:hAnsi="Arial"/>
      <w:sz w:val="24"/>
    </w:rPr>
  </w:style>
  <w:style w:type="paragraph" w:styleId="Bezmezer">
    <w:name w:val="No Spacing"/>
    <w:qFormat/>
    <w:rsid w:val="00B27AD6"/>
    <w:rPr>
      <w:rFonts w:eastAsia="SimSun"/>
      <w:sz w:val="24"/>
      <w:szCs w:val="24"/>
      <w:lang w:eastAsia="zh-CN"/>
    </w:rPr>
  </w:style>
  <w:style w:type="character" w:customStyle="1" w:styleId="STYL2Char">
    <w:name w:val="STYL2 Char"/>
    <w:link w:val="STYL2"/>
    <w:rsid w:val="00B27AD6"/>
    <w:rPr>
      <w:b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057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5757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7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5757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3D3"/>
    <w:rPr>
      <w:rFonts w:ascii="Tahoma" w:hAnsi="Tahoma" w:cs="Tahoma"/>
      <w:sz w:val="16"/>
      <w:szCs w:val="16"/>
      <w:lang w:eastAsia="cs-CZ"/>
    </w:rPr>
  </w:style>
  <w:style w:type="paragraph" w:styleId="Textpoznpodarou">
    <w:name w:val="footnote text"/>
    <w:aliases w:val="Schriftart: 9 pt,Schriftart: 10 pt,Schriftart: 8 pt,Char,Char Char Char Char Char,Char Char Char Char,Char Char Char, Char3,Char Char,Char Char Char Char Char Char Char Char Char Char Char Char,single space"/>
    <w:basedOn w:val="Normln"/>
    <w:link w:val="TextpoznpodarouChar"/>
    <w:rsid w:val="00D22184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Char Char1,Char Char Char Char Char Char,Char Char Char Char Char1,Char Char Char Char1, Char3 Char,Char Char Char1,single space Char"/>
    <w:basedOn w:val="Standardnpsmoodstavce"/>
    <w:link w:val="Textpoznpodarou"/>
    <w:rsid w:val="00D22184"/>
    <w:rPr>
      <w:lang w:eastAsia="cs-CZ"/>
    </w:rPr>
  </w:style>
  <w:style w:type="character" w:styleId="Znakapoznpodarou">
    <w:name w:val="footnote reference"/>
    <w:aliases w:val="Footnote Refernece,callout,Footnotes refss,Footnote Reference Superscript,BVI fnr,Footnote Reference Number,Footnote Refernece + (Latein) Arial,10 pt,Blau,Fußnotenzeichen_Raxen,Footnote Refe,FR,...,Appel note de bas de p."/>
    <w:rsid w:val="00D221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AD6"/>
    <w:rPr>
      <w:sz w:val="24"/>
      <w:szCs w:val="24"/>
      <w:lang w:eastAsia="cs-CZ"/>
    </w:rPr>
  </w:style>
  <w:style w:type="paragraph" w:styleId="Nadpis1">
    <w:name w:val="heading 1"/>
    <w:aliases w:val=" Char"/>
    <w:basedOn w:val="Normln"/>
    <w:next w:val="Normln"/>
    <w:link w:val="Nadpis1Char"/>
    <w:qFormat/>
    <w:rsid w:val="00B27AD6"/>
    <w:pPr>
      <w:keepNext/>
      <w:numPr>
        <w:numId w:val="7"/>
      </w:numPr>
      <w:spacing w:before="1440" w:after="240"/>
      <w:jc w:val="center"/>
      <w:outlineLvl w:val="0"/>
    </w:pPr>
    <w:rPr>
      <w:rFonts w:cs="Arial"/>
      <w:b/>
      <w:bCs/>
      <w:caps/>
      <w:kern w:val="32"/>
      <w:sz w:val="32"/>
      <w:szCs w:val="32"/>
      <w:lang w:val="en-US" w:eastAsia="en-US"/>
    </w:rPr>
  </w:style>
  <w:style w:type="paragraph" w:styleId="Nadpis2">
    <w:name w:val="heading 2"/>
    <w:basedOn w:val="Normln"/>
    <w:next w:val="Normln"/>
    <w:link w:val="Nadpis2Char"/>
    <w:qFormat/>
    <w:rsid w:val="00B27A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27A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27A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27A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qFormat/>
    <w:rsid w:val="00B27A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"/>
    <w:basedOn w:val="Normln"/>
    <w:uiPriority w:val="34"/>
    <w:qFormat/>
    <w:rsid w:val="00B27AD6"/>
    <w:pPr>
      <w:ind w:left="708"/>
    </w:pPr>
  </w:style>
  <w:style w:type="paragraph" w:customStyle="1" w:styleId="STYL1">
    <w:name w:val="STYL1"/>
    <w:basedOn w:val="Normln"/>
    <w:autoRedefine/>
    <w:qFormat/>
    <w:rsid w:val="00B27AD6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360"/>
      <w:outlineLvl w:val="0"/>
    </w:pPr>
    <w:rPr>
      <w:b/>
    </w:rPr>
  </w:style>
  <w:style w:type="paragraph" w:customStyle="1" w:styleId="STYL2">
    <w:name w:val="STYL2"/>
    <w:basedOn w:val="Normln"/>
    <w:link w:val="STYL2Char"/>
    <w:autoRedefine/>
    <w:qFormat/>
    <w:rsid w:val="00B27AD6"/>
    <w:pPr>
      <w:spacing w:before="120"/>
      <w:ind w:left="284" w:right="-311" w:hanging="360"/>
      <w:jc w:val="both"/>
      <w:outlineLvl w:val="1"/>
    </w:pPr>
    <w:rPr>
      <w:b/>
      <w:lang w:eastAsia="en-US"/>
    </w:rPr>
  </w:style>
  <w:style w:type="paragraph" w:customStyle="1" w:styleId="STYL3">
    <w:name w:val="STYL3"/>
    <w:basedOn w:val="Normln"/>
    <w:link w:val="STYL3Char"/>
    <w:autoRedefine/>
    <w:qFormat/>
    <w:rsid w:val="00B27AD6"/>
    <w:pPr>
      <w:tabs>
        <w:tab w:val="num" w:pos="0"/>
      </w:tabs>
      <w:spacing w:before="120" w:after="120"/>
      <w:ind w:left="431" w:hanging="431"/>
      <w:jc w:val="both"/>
      <w:outlineLvl w:val="2"/>
    </w:pPr>
    <w:rPr>
      <w:b/>
    </w:rPr>
  </w:style>
  <w:style w:type="character" w:customStyle="1" w:styleId="STYL3Char">
    <w:name w:val="STYL3 Char"/>
    <w:link w:val="STYL3"/>
    <w:rsid w:val="00B27AD6"/>
    <w:rPr>
      <w:b/>
      <w:sz w:val="24"/>
      <w:szCs w:val="24"/>
      <w:lang w:eastAsia="cs-CZ"/>
    </w:rPr>
  </w:style>
  <w:style w:type="paragraph" w:customStyle="1" w:styleId="Nadpis1stnovan">
    <w:name w:val="Nadpis 1 stínovaný"/>
    <w:basedOn w:val="Normln"/>
    <w:rsid w:val="00610D24"/>
    <w:pPr>
      <w:shd w:val="clear" w:color="auto" w:fill="CCCCCC"/>
      <w:jc w:val="center"/>
    </w:pPr>
    <w:rPr>
      <w:b/>
      <w:bCs/>
      <w:caps/>
      <w:sz w:val="28"/>
      <w:szCs w:val="22"/>
    </w:rPr>
  </w:style>
  <w:style w:type="paragraph" w:customStyle="1" w:styleId="Norm">
    <w:name w:val="Norm"/>
    <w:basedOn w:val="Normln"/>
    <w:rsid w:val="00610D24"/>
    <w:pPr>
      <w:keepNext/>
      <w:spacing w:before="120"/>
      <w:ind w:firstLine="567"/>
      <w:outlineLvl w:val="0"/>
    </w:pPr>
    <w:rPr>
      <w:bCs/>
      <w:kern w:val="32"/>
    </w:rPr>
  </w:style>
  <w:style w:type="character" w:customStyle="1" w:styleId="Nadpis1Char">
    <w:name w:val="Nadpis 1 Char"/>
    <w:aliases w:val=" Char Char"/>
    <w:link w:val="Nadpis1"/>
    <w:rsid w:val="00B27AD6"/>
    <w:rPr>
      <w:rFonts w:cs="Arial"/>
      <w:b/>
      <w:bCs/>
      <w:cap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rsid w:val="00610D24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B27AD6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610D24"/>
    <w:rPr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10D24"/>
    <w:rPr>
      <w:b/>
      <w:bCs/>
      <w:i/>
      <w:iCs/>
      <w:sz w:val="26"/>
      <w:szCs w:val="26"/>
      <w:lang w:eastAsia="cs-CZ"/>
    </w:rPr>
  </w:style>
  <w:style w:type="paragraph" w:styleId="Titulek">
    <w:name w:val="caption"/>
    <w:basedOn w:val="Normln"/>
    <w:next w:val="Normln"/>
    <w:qFormat/>
    <w:rsid w:val="00B27AD6"/>
    <w:rPr>
      <w:b/>
      <w:bCs/>
      <w:sz w:val="20"/>
      <w:szCs w:val="20"/>
    </w:rPr>
  </w:style>
  <w:style w:type="character" w:styleId="Siln">
    <w:name w:val="Strong"/>
    <w:uiPriority w:val="22"/>
    <w:qFormat/>
    <w:rsid w:val="00B27AD6"/>
    <w:rPr>
      <w:rFonts w:cs="Times New Roman"/>
      <w:b/>
      <w:bCs/>
    </w:rPr>
  </w:style>
  <w:style w:type="character" w:styleId="Zvraznn">
    <w:name w:val="Emphasis"/>
    <w:qFormat/>
    <w:rsid w:val="00B27AD6"/>
    <w:rPr>
      <w:rFonts w:cs="Times New Roman"/>
      <w:i/>
      <w:iCs/>
    </w:rPr>
  </w:style>
  <w:style w:type="paragraph" w:customStyle="1" w:styleId="Styl20">
    <w:name w:val="Styl2"/>
    <w:basedOn w:val="Nadpis1"/>
    <w:link w:val="Styl2Char0"/>
    <w:qFormat/>
    <w:rsid w:val="00B27AD6"/>
    <w:pPr>
      <w:numPr>
        <w:numId w:val="0"/>
      </w:numPr>
      <w:tabs>
        <w:tab w:val="num" w:pos="360"/>
      </w:tabs>
      <w:spacing w:before="120" w:after="0"/>
      <w:ind w:left="360" w:hanging="360"/>
      <w:jc w:val="both"/>
    </w:pPr>
    <w:rPr>
      <w:sz w:val="24"/>
      <w:szCs w:val="24"/>
    </w:rPr>
  </w:style>
  <w:style w:type="character" w:customStyle="1" w:styleId="Styl2Char0">
    <w:name w:val="Styl2 Char"/>
    <w:basedOn w:val="Nadpis1Char"/>
    <w:link w:val="Styl20"/>
    <w:rsid w:val="00B27AD6"/>
    <w:rPr>
      <w:rFonts w:cs="Arial"/>
      <w:b/>
      <w:bCs/>
      <w:caps/>
      <w:kern w:val="32"/>
      <w:sz w:val="24"/>
      <w:szCs w:val="24"/>
      <w:lang w:val="en-US"/>
    </w:rPr>
  </w:style>
  <w:style w:type="paragraph" w:customStyle="1" w:styleId="Odstavecseseznamem1">
    <w:name w:val="Odstavec se seznamem1"/>
    <w:basedOn w:val="Normln"/>
    <w:qFormat/>
    <w:rsid w:val="00B27AD6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RVZRK">
    <w:name w:val="RVZRK"/>
    <w:basedOn w:val="Normln"/>
    <w:qFormat/>
    <w:rsid w:val="00B27AD6"/>
    <w:pPr>
      <w:spacing w:line="360" w:lineRule="auto"/>
      <w:ind w:firstLine="709"/>
      <w:jc w:val="both"/>
    </w:pPr>
    <w:rPr>
      <w:rFonts w:ascii="Verdana" w:hAnsi="Verdana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B27AD6"/>
    <w:rPr>
      <w:rFonts w:ascii="Arial" w:hAnsi="Arial" w:cs="Arial"/>
      <w:sz w:val="22"/>
      <w:szCs w:val="22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B27AD6"/>
    <w:pPr>
      <w:spacing w:after="60" w:line="276" w:lineRule="auto"/>
      <w:jc w:val="center"/>
      <w:outlineLvl w:val="1"/>
    </w:pPr>
    <w:rPr>
      <w:rFonts w:ascii="Arial" w:hAnsi="Arial"/>
      <w:szCs w:val="20"/>
      <w:lang w:eastAsia="en-US"/>
    </w:rPr>
  </w:style>
  <w:style w:type="character" w:customStyle="1" w:styleId="PodtitulChar">
    <w:name w:val="Podtitul Char"/>
    <w:link w:val="Podtitul"/>
    <w:rsid w:val="00B27AD6"/>
    <w:rPr>
      <w:rFonts w:ascii="Arial" w:hAnsi="Arial"/>
      <w:sz w:val="24"/>
    </w:rPr>
  </w:style>
  <w:style w:type="paragraph" w:styleId="Bezmezer">
    <w:name w:val="No Spacing"/>
    <w:qFormat/>
    <w:rsid w:val="00B27AD6"/>
    <w:rPr>
      <w:rFonts w:eastAsia="SimSun"/>
      <w:sz w:val="24"/>
      <w:szCs w:val="24"/>
      <w:lang w:eastAsia="zh-CN"/>
    </w:rPr>
  </w:style>
  <w:style w:type="character" w:customStyle="1" w:styleId="STYL2Char">
    <w:name w:val="STYL2 Char"/>
    <w:link w:val="STYL2"/>
    <w:rsid w:val="00B27AD6"/>
    <w:rPr>
      <w:b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057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5757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7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5757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3D3"/>
    <w:rPr>
      <w:rFonts w:ascii="Tahoma" w:hAnsi="Tahoma" w:cs="Tahoma"/>
      <w:sz w:val="16"/>
      <w:szCs w:val="16"/>
      <w:lang w:eastAsia="cs-CZ"/>
    </w:rPr>
  </w:style>
  <w:style w:type="paragraph" w:styleId="Textpoznpodarou">
    <w:name w:val="footnote text"/>
    <w:aliases w:val="Schriftart: 9 pt,Schriftart: 10 pt,Schriftart: 8 pt,Char,Char Char Char Char Char,Char Char Char Char,Char Char Char, Char3,Char Char,Char Char Char Char Char Char Char Char Char Char Char Char,single space"/>
    <w:basedOn w:val="Normln"/>
    <w:link w:val="TextpoznpodarouChar"/>
    <w:rsid w:val="00D22184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Char Char1,Char Char Char Char Char Char,Char Char Char Char Char1,Char Char Char Char1, Char3 Char,Char Char Char1,single space Char"/>
    <w:basedOn w:val="Standardnpsmoodstavce"/>
    <w:link w:val="Textpoznpodarou"/>
    <w:rsid w:val="00D22184"/>
    <w:rPr>
      <w:lang w:eastAsia="cs-CZ"/>
    </w:rPr>
  </w:style>
  <w:style w:type="character" w:styleId="Znakapoznpodarou">
    <w:name w:val="footnote reference"/>
    <w:aliases w:val="Footnote Refernece,callout,Footnotes refss,Footnote Reference Superscript,BVI fnr,Footnote Reference Number,Footnote Refernece + (Latein) Arial,10 pt,Blau,Fußnotenzeichen_Raxen,Footnote Refe,FR,...,Appel note de bas de p."/>
    <w:rsid w:val="00D22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1DD7-9A49-4DA5-92B9-A561C395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2242</Words>
  <Characters>13230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Košatková Eva</dc:creator>
  <cp:keywords/>
  <dc:description/>
  <cp:lastModifiedBy>Košatková Eva</cp:lastModifiedBy>
  <cp:revision>19</cp:revision>
  <dcterms:created xsi:type="dcterms:W3CDTF">2013-06-25T12:11:00Z</dcterms:created>
  <dcterms:modified xsi:type="dcterms:W3CDTF">2013-06-26T09:32:00Z</dcterms:modified>
</cp:coreProperties>
</file>